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94679" w14:textId="65669351" w:rsidR="007D17B2" w:rsidRPr="00780D2B" w:rsidRDefault="00000000">
      <w:pPr>
        <w:pStyle w:val="Titolo"/>
        <w:jc w:val="both"/>
        <w:rPr>
          <w:rFonts w:ascii="Arial" w:eastAsia="Arial" w:hAnsi="Arial" w:cs="Arial"/>
          <w:sz w:val="38"/>
          <w:szCs w:val="38"/>
          <w:lang w:val="en-US"/>
        </w:rPr>
      </w:pPr>
      <w:bookmarkStart w:id="0" w:name="_heading=h.1e4931ohjer" w:colFirst="0" w:colLast="0"/>
      <w:bookmarkEnd w:id="0"/>
      <w:r w:rsidRPr="00780D2B">
        <w:rPr>
          <w:rFonts w:ascii="Arial" w:eastAsia="Arial" w:hAnsi="Arial" w:cs="Arial"/>
          <w:sz w:val="38"/>
          <w:szCs w:val="38"/>
          <w:lang w:val="en-US"/>
        </w:rPr>
        <w:t xml:space="preserve">The Terza Torre Seismic Array in Bologna, Italy: </w:t>
      </w:r>
      <w:r w:rsidR="00435F01" w:rsidRPr="00780D2B">
        <w:rPr>
          <w:rFonts w:ascii="Arial" w:eastAsia="Arial" w:hAnsi="Arial" w:cs="Arial"/>
          <w:sz w:val="38"/>
          <w:szCs w:val="38"/>
          <w:lang w:val="en-US"/>
        </w:rPr>
        <w:t>a</w:t>
      </w:r>
      <w:r w:rsidR="001074A3" w:rsidRPr="00780D2B">
        <w:rPr>
          <w:rFonts w:ascii="Arial" w:eastAsia="Arial" w:hAnsi="Arial" w:cs="Arial"/>
          <w:sz w:val="38"/>
          <w:szCs w:val="38"/>
          <w:lang w:val="en-US"/>
        </w:rPr>
        <w:t xml:space="preserve"> monitoring</w:t>
      </w:r>
      <w:r w:rsidR="00435F01" w:rsidRPr="00780D2B">
        <w:rPr>
          <w:rFonts w:ascii="Arial" w:eastAsia="Arial" w:hAnsi="Arial" w:cs="Arial"/>
          <w:sz w:val="38"/>
          <w:szCs w:val="38"/>
          <w:lang w:val="en-US"/>
        </w:rPr>
        <w:t xml:space="preserve"> infrastructure for soil-structure systems</w:t>
      </w:r>
      <w:r w:rsidR="001074A3" w:rsidRPr="00780D2B">
        <w:rPr>
          <w:rFonts w:ascii="Arial" w:eastAsia="Arial" w:hAnsi="Arial" w:cs="Arial"/>
          <w:sz w:val="38"/>
          <w:szCs w:val="38"/>
          <w:lang w:val="en-US"/>
        </w:rPr>
        <w:t xml:space="preserve"> analysis</w:t>
      </w:r>
    </w:p>
    <w:p w14:paraId="463167FF" w14:textId="77777777" w:rsidR="007D17B2" w:rsidRPr="00780D2B" w:rsidRDefault="007D17B2">
      <w:pPr>
        <w:jc w:val="both"/>
        <w:rPr>
          <w:rFonts w:ascii="Arial" w:eastAsia="Arial" w:hAnsi="Arial" w:cs="Arial"/>
          <w:b/>
          <w:bCs/>
          <w:sz w:val="24"/>
          <w:szCs w:val="24"/>
          <w:lang w:val="en-US"/>
        </w:rPr>
      </w:pPr>
    </w:p>
    <w:p w14:paraId="706F8BE2" w14:textId="77777777" w:rsidR="007D17B2" w:rsidRPr="00780D2B" w:rsidRDefault="00000000">
      <w:pPr>
        <w:jc w:val="both"/>
        <w:rPr>
          <w:rFonts w:ascii="Arial" w:eastAsia="Arial" w:hAnsi="Arial" w:cs="Arial"/>
          <w:i/>
          <w:iCs/>
          <w:sz w:val="24"/>
          <w:szCs w:val="24"/>
          <w:lang w:val="it-IT"/>
        </w:rPr>
      </w:pPr>
      <w:r w:rsidRPr="00780D2B">
        <w:rPr>
          <w:rFonts w:ascii="Arial" w:eastAsia="Arial" w:hAnsi="Arial" w:cs="Arial"/>
          <w:i/>
          <w:iCs/>
          <w:sz w:val="24"/>
          <w:szCs w:val="24"/>
          <w:lang w:val="it-IT"/>
        </w:rPr>
        <w:t>Authors: L. Cataldi</w:t>
      </w:r>
      <w:r w:rsidRPr="00780D2B">
        <w:rPr>
          <w:rFonts w:ascii="Arial" w:eastAsia="Arial" w:hAnsi="Arial" w:cs="Arial"/>
          <w:i/>
          <w:iCs/>
          <w:sz w:val="24"/>
          <w:szCs w:val="24"/>
          <w:vertAlign w:val="superscript"/>
          <w:lang w:val="it-IT"/>
        </w:rPr>
        <w:t>1</w:t>
      </w:r>
      <w:r w:rsidRPr="00780D2B">
        <w:rPr>
          <w:rFonts w:ascii="Arial" w:eastAsia="Arial" w:hAnsi="Arial" w:cs="Arial"/>
          <w:i/>
          <w:iCs/>
          <w:sz w:val="24"/>
          <w:szCs w:val="24"/>
          <w:lang w:val="it-IT"/>
        </w:rPr>
        <w:t>, G. Capotosti</w:t>
      </w:r>
      <w:r w:rsidRPr="00780D2B">
        <w:rPr>
          <w:rFonts w:ascii="Arial" w:eastAsia="Arial" w:hAnsi="Arial" w:cs="Arial"/>
          <w:i/>
          <w:iCs/>
          <w:sz w:val="24"/>
          <w:szCs w:val="24"/>
          <w:vertAlign w:val="superscript"/>
          <w:lang w:val="it-IT"/>
        </w:rPr>
        <w:t>1</w:t>
      </w:r>
      <w:r w:rsidRPr="00780D2B">
        <w:rPr>
          <w:rFonts w:ascii="Arial" w:eastAsia="Arial" w:hAnsi="Arial" w:cs="Arial"/>
          <w:i/>
          <w:iCs/>
          <w:sz w:val="24"/>
          <w:szCs w:val="24"/>
          <w:lang w:val="it-IT"/>
        </w:rPr>
        <w:t>, D. Ertuncay</w:t>
      </w:r>
      <w:r w:rsidRPr="00780D2B">
        <w:rPr>
          <w:rFonts w:ascii="Arial" w:eastAsia="Arial" w:hAnsi="Arial" w:cs="Arial"/>
          <w:i/>
          <w:iCs/>
          <w:sz w:val="24"/>
          <w:szCs w:val="24"/>
          <w:vertAlign w:val="superscript"/>
          <w:lang w:val="it-IT"/>
        </w:rPr>
        <w:t>1</w:t>
      </w:r>
      <w:r w:rsidRPr="00780D2B">
        <w:rPr>
          <w:rFonts w:ascii="Arial" w:eastAsia="Arial" w:hAnsi="Arial" w:cs="Arial"/>
          <w:i/>
          <w:iCs/>
          <w:sz w:val="24"/>
          <w:szCs w:val="24"/>
          <w:lang w:val="it-IT"/>
        </w:rPr>
        <w:t>, B. Petrovic</w:t>
      </w:r>
      <w:r w:rsidRPr="00780D2B">
        <w:rPr>
          <w:rFonts w:ascii="Arial" w:eastAsia="Arial" w:hAnsi="Arial" w:cs="Arial"/>
          <w:i/>
          <w:iCs/>
          <w:sz w:val="24"/>
          <w:szCs w:val="24"/>
          <w:vertAlign w:val="superscript"/>
          <w:lang w:val="it-IT"/>
        </w:rPr>
        <w:t>2</w:t>
      </w:r>
      <w:r w:rsidRPr="00780D2B">
        <w:rPr>
          <w:rFonts w:ascii="Arial" w:eastAsia="Arial" w:hAnsi="Arial" w:cs="Arial"/>
          <w:i/>
          <w:iCs/>
          <w:sz w:val="24"/>
          <w:szCs w:val="24"/>
          <w:lang w:val="it-IT"/>
        </w:rPr>
        <w:t>, M. Romanelli</w:t>
      </w:r>
      <w:r w:rsidRPr="00780D2B">
        <w:rPr>
          <w:rFonts w:ascii="Arial" w:eastAsia="Arial" w:hAnsi="Arial" w:cs="Arial"/>
          <w:i/>
          <w:iCs/>
          <w:sz w:val="24"/>
          <w:szCs w:val="24"/>
          <w:vertAlign w:val="superscript"/>
          <w:lang w:val="it-IT"/>
        </w:rPr>
        <w:t>1</w:t>
      </w:r>
      <w:r w:rsidRPr="00780D2B">
        <w:rPr>
          <w:rFonts w:ascii="Arial" w:eastAsia="Arial" w:hAnsi="Arial" w:cs="Arial"/>
          <w:i/>
          <w:iCs/>
          <w:sz w:val="24"/>
          <w:szCs w:val="24"/>
          <w:lang w:val="it-IT"/>
        </w:rPr>
        <w:t>, C. Scaini</w:t>
      </w:r>
      <w:r w:rsidRPr="00780D2B">
        <w:rPr>
          <w:rFonts w:ascii="Arial" w:eastAsia="Arial" w:hAnsi="Arial" w:cs="Arial"/>
          <w:i/>
          <w:iCs/>
          <w:sz w:val="24"/>
          <w:szCs w:val="24"/>
          <w:vertAlign w:val="superscript"/>
          <w:lang w:val="it-IT"/>
        </w:rPr>
        <w:t>1</w:t>
      </w:r>
      <w:r w:rsidRPr="00780D2B">
        <w:rPr>
          <w:rFonts w:ascii="Arial" w:eastAsia="Arial" w:hAnsi="Arial" w:cs="Arial"/>
          <w:i/>
          <w:iCs/>
          <w:sz w:val="24"/>
          <w:szCs w:val="24"/>
          <w:lang w:val="it-IT"/>
        </w:rPr>
        <w:t>, L. Martelli</w:t>
      </w:r>
      <w:r w:rsidRPr="00780D2B">
        <w:rPr>
          <w:rFonts w:ascii="Arial" w:eastAsia="Arial" w:hAnsi="Arial" w:cs="Arial"/>
          <w:i/>
          <w:iCs/>
          <w:sz w:val="24"/>
          <w:szCs w:val="24"/>
          <w:vertAlign w:val="superscript"/>
          <w:lang w:val="it-IT"/>
        </w:rPr>
        <w:t>3</w:t>
      </w:r>
      <w:r w:rsidRPr="00780D2B">
        <w:rPr>
          <w:rFonts w:ascii="Arial" w:eastAsia="Arial" w:hAnsi="Arial" w:cs="Arial"/>
          <w:i/>
          <w:iCs/>
          <w:sz w:val="24"/>
          <w:szCs w:val="24"/>
          <w:lang w:val="it-IT"/>
        </w:rPr>
        <w:t>, S. Parolai</w:t>
      </w:r>
      <w:r w:rsidRPr="00780D2B">
        <w:rPr>
          <w:rFonts w:ascii="Arial" w:eastAsia="Arial" w:hAnsi="Arial" w:cs="Arial"/>
          <w:i/>
          <w:iCs/>
          <w:sz w:val="24"/>
          <w:szCs w:val="24"/>
          <w:vertAlign w:val="superscript"/>
          <w:lang w:val="it-IT"/>
        </w:rPr>
        <w:t>1</w:t>
      </w:r>
      <w:r w:rsidRPr="00780D2B">
        <w:rPr>
          <w:rFonts w:ascii="Arial" w:eastAsia="Arial" w:hAnsi="Arial" w:cs="Arial"/>
          <w:i/>
          <w:iCs/>
          <w:sz w:val="24"/>
          <w:szCs w:val="24"/>
          <w:lang w:val="it-IT"/>
        </w:rPr>
        <w:t>, V. Poggi</w:t>
      </w:r>
      <w:r w:rsidRPr="00780D2B">
        <w:rPr>
          <w:rFonts w:ascii="Arial" w:eastAsia="Arial" w:hAnsi="Arial" w:cs="Arial"/>
          <w:i/>
          <w:iCs/>
          <w:sz w:val="24"/>
          <w:szCs w:val="24"/>
          <w:vertAlign w:val="superscript"/>
          <w:lang w:val="it-IT"/>
        </w:rPr>
        <w:t>1</w:t>
      </w:r>
      <w:r w:rsidRPr="00780D2B">
        <w:rPr>
          <w:rFonts w:ascii="Arial" w:eastAsia="Arial" w:hAnsi="Arial" w:cs="Arial"/>
          <w:i/>
          <w:iCs/>
          <w:sz w:val="24"/>
          <w:szCs w:val="24"/>
          <w:lang w:val="it-IT"/>
        </w:rPr>
        <w:t xml:space="preserve"> </w:t>
      </w:r>
    </w:p>
    <w:p w14:paraId="02564CAD" w14:textId="77777777" w:rsidR="007D17B2" w:rsidRPr="00780D2B" w:rsidRDefault="007D17B2">
      <w:pPr>
        <w:jc w:val="both"/>
        <w:rPr>
          <w:rFonts w:ascii="Arial" w:eastAsia="Arial" w:hAnsi="Arial" w:cs="Arial"/>
          <w:lang w:val="it-IT"/>
        </w:rPr>
      </w:pPr>
      <w:bookmarkStart w:id="1" w:name="_heading=h.i3r82uxmst3v" w:colFirst="0" w:colLast="0"/>
      <w:bookmarkEnd w:id="1"/>
    </w:p>
    <w:p w14:paraId="43C827CB" w14:textId="77777777" w:rsidR="007D17B2" w:rsidRPr="00780D2B" w:rsidRDefault="00000000">
      <w:pPr>
        <w:spacing w:line="480" w:lineRule="auto"/>
        <w:jc w:val="both"/>
        <w:rPr>
          <w:rFonts w:ascii="Arial" w:eastAsia="Arial" w:hAnsi="Arial" w:cs="Arial"/>
          <w:sz w:val="24"/>
          <w:szCs w:val="24"/>
        </w:rPr>
      </w:pPr>
      <w:bookmarkStart w:id="2" w:name="_heading=h.jr3scz6rur87" w:colFirst="0" w:colLast="0"/>
      <w:bookmarkEnd w:id="2"/>
      <w:r w:rsidRPr="00780D2B">
        <w:rPr>
          <w:rFonts w:ascii="Arial" w:eastAsia="Arial" w:hAnsi="Arial" w:cs="Arial"/>
          <w:b/>
          <w:bCs/>
          <w:sz w:val="24"/>
          <w:szCs w:val="24"/>
        </w:rPr>
        <w:t>Affiliations</w:t>
      </w:r>
      <w:r w:rsidRPr="00780D2B">
        <w:rPr>
          <w:rFonts w:ascii="Arial" w:eastAsia="Arial" w:hAnsi="Arial" w:cs="Arial"/>
          <w:sz w:val="24"/>
          <w:szCs w:val="24"/>
        </w:rPr>
        <w:t>:</w:t>
      </w:r>
    </w:p>
    <w:p w14:paraId="70AB7142" w14:textId="7B5280DA" w:rsidR="007D17B2" w:rsidRPr="00780D2B" w:rsidRDefault="00000000">
      <w:pPr>
        <w:numPr>
          <w:ilvl w:val="0"/>
          <w:numId w:val="1"/>
        </w:numPr>
        <w:spacing w:after="0" w:line="480" w:lineRule="auto"/>
        <w:jc w:val="both"/>
        <w:rPr>
          <w:rFonts w:ascii="Arial" w:eastAsia="Arial" w:hAnsi="Arial" w:cs="Arial"/>
          <w:sz w:val="24"/>
          <w:szCs w:val="24"/>
        </w:rPr>
      </w:pPr>
      <w:bookmarkStart w:id="3" w:name="_heading=h.syek53njylx1" w:colFirst="0" w:colLast="0"/>
      <w:bookmarkEnd w:id="3"/>
      <w:r w:rsidRPr="00780D2B">
        <w:rPr>
          <w:rFonts w:ascii="Arial" w:eastAsia="Arial" w:hAnsi="Arial" w:cs="Arial"/>
          <w:sz w:val="24"/>
          <w:szCs w:val="24"/>
        </w:rPr>
        <w:t xml:space="preserve">National Institute of Oceanography and Applied Geophysics - OGS, </w:t>
      </w:r>
      <w:proofErr w:type="spellStart"/>
      <w:r w:rsidR="00060660">
        <w:rPr>
          <w:rFonts w:ascii="Arial" w:eastAsia="Arial" w:hAnsi="Arial" w:cs="Arial"/>
          <w:sz w:val="24"/>
          <w:szCs w:val="24"/>
        </w:rPr>
        <w:t>Sgonico</w:t>
      </w:r>
      <w:proofErr w:type="spellEnd"/>
      <w:r w:rsidRPr="00780D2B">
        <w:rPr>
          <w:rFonts w:ascii="Arial" w:eastAsia="Arial" w:hAnsi="Arial" w:cs="Arial"/>
          <w:sz w:val="24"/>
          <w:szCs w:val="24"/>
        </w:rPr>
        <w:t>, Italy</w:t>
      </w:r>
    </w:p>
    <w:p w14:paraId="7C24F200" w14:textId="77777777" w:rsidR="007D17B2" w:rsidRPr="00780D2B" w:rsidRDefault="00000000">
      <w:pPr>
        <w:numPr>
          <w:ilvl w:val="0"/>
          <w:numId w:val="1"/>
        </w:numPr>
        <w:spacing w:after="0" w:line="480" w:lineRule="auto"/>
        <w:jc w:val="both"/>
        <w:rPr>
          <w:rFonts w:ascii="Arial" w:eastAsia="Arial" w:hAnsi="Arial" w:cs="Arial"/>
          <w:sz w:val="24"/>
          <w:szCs w:val="24"/>
        </w:rPr>
      </w:pPr>
      <w:bookmarkStart w:id="4" w:name="_heading=h.wwm90wafofey" w:colFirst="0" w:colLast="0"/>
      <w:bookmarkEnd w:id="4"/>
      <w:r w:rsidRPr="00780D2B">
        <w:rPr>
          <w:rFonts w:ascii="Arial" w:eastAsia="Arial" w:hAnsi="Arial" w:cs="Arial"/>
          <w:sz w:val="24"/>
          <w:szCs w:val="24"/>
        </w:rPr>
        <w:t>GFZ Helmholtz Centre for Geosciences, Potsdam, Germany</w:t>
      </w:r>
    </w:p>
    <w:p w14:paraId="3064E21D" w14:textId="77777777" w:rsidR="007D17B2" w:rsidRPr="00780D2B" w:rsidRDefault="00000000">
      <w:pPr>
        <w:numPr>
          <w:ilvl w:val="0"/>
          <w:numId w:val="1"/>
        </w:numPr>
        <w:spacing w:line="480" w:lineRule="auto"/>
        <w:jc w:val="both"/>
        <w:rPr>
          <w:rFonts w:ascii="Arial" w:eastAsia="Arial" w:hAnsi="Arial" w:cs="Arial"/>
          <w:sz w:val="24"/>
          <w:szCs w:val="24"/>
          <w:lang w:val="it-IT"/>
        </w:rPr>
      </w:pPr>
      <w:bookmarkStart w:id="5" w:name="_heading=h.5ft04jgtbdx1" w:colFirst="0" w:colLast="0"/>
      <w:bookmarkEnd w:id="5"/>
      <w:r w:rsidRPr="00780D2B">
        <w:rPr>
          <w:rFonts w:ascii="Arial" w:eastAsia="Arial" w:hAnsi="Arial" w:cs="Arial"/>
          <w:sz w:val="24"/>
          <w:szCs w:val="24"/>
          <w:lang w:val="it-IT"/>
        </w:rPr>
        <w:t xml:space="preserve">Emilia-Romagna Region, </w:t>
      </w:r>
      <w:proofErr w:type="spellStart"/>
      <w:r w:rsidRPr="00780D2B">
        <w:rPr>
          <w:rFonts w:ascii="Arial" w:eastAsia="Arial" w:hAnsi="Arial" w:cs="Arial"/>
          <w:sz w:val="24"/>
          <w:szCs w:val="24"/>
          <w:lang w:val="it-IT"/>
        </w:rPr>
        <w:t>Geological</w:t>
      </w:r>
      <w:proofErr w:type="spellEnd"/>
      <w:r w:rsidRPr="00780D2B">
        <w:rPr>
          <w:rFonts w:ascii="Arial" w:eastAsia="Arial" w:hAnsi="Arial" w:cs="Arial"/>
          <w:sz w:val="24"/>
          <w:szCs w:val="24"/>
          <w:lang w:val="it-IT"/>
        </w:rPr>
        <w:t xml:space="preserve">, </w:t>
      </w:r>
      <w:proofErr w:type="spellStart"/>
      <w:r w:rsidRPr="00780D2B">
        <w:rPr>
          <w:rFonts w:ascii="Arial" w:eastAsia="Arial" w:hAnsi="Arial" w:cs="Arial"/>
          <w:sz w:val="24"/>
          <w:szCs w:val="24"/>
          <w:lang w:val="it-IT"/>
        </w:rPr>
        <w:t>Seismic</w:t>
      </w:r>
      <w:proofErr w:type="spellEnd"/>
      <w:r w:rsidRPr="00780D2B">
        <w:rPr>
          <w:rFonts w:ascii="Arial" w:eastAsia="Arial" w:hAnsi="Arial" w:cs="Arial"/>
          <w:sz w:val="24"/>
          <w:szCs w:val="24"/>
          <w:lang w:val="it-IT"/>
        </w:rPr>
        <w:t xml:space="preserve"> and </w:t>
      </w:r>
      <w:proofErr w:type="spellStart"/>
      <w:r w:rsidRPr="00780D2B">
        <w:rPr>
          <w:rFonts w:ascii="Arial" w:eastAsia="Arial" w:hAnsi="Arial" w:cs="Arial"/>
          <w:sz w:val="24"/>
          <w:szCs w:val="24"/>
          <w:lang w:val="it-IT"/>
        </w:rPr>
        <w:t>Soil</w:t>
      </w:r>
      <w:proofErr w:type="spellEnd"/>
      <w:r w:rsidRPr="00780D2B">
        <w:rPr>
          <w:rFonts w:ascii="Arial" w:eastAsia="Arial" w:hAnsi="Arial" w:cs="Arial"/>
          <w:sz w:val="24"/>
          <w:szCs w:val="24"/>
          <w:lang w:val="it-IT"/>
        </w:rPr>
        <w:t xml:space="preserve"> Survey, Bologna, Italy</w:t>
      </w:r>
    </w:p>
    <w:p w14:paraId="29432C9B" w14:textId="200A253B" w:rsidR="007D17B2" w:rsidRPr="00780D2B" w:rsidRDefault="00000000">
      <w:pPr>
        <w:spacing w:before="240" w:after="240" w:line="480" w:lineRule="auto"/>
        <w:jc w:val="both"/>
        <w:rPr>
          <w:rFonts w:ascii="Arial" w:eastAsia="Arial" w:hAnsi="Arial" w:cs="Arial"/>
          <w:b/>
          <w:bCs/>
          <w:sz w:val="24"/>
          <w:szCs w:val="24"/>
        </w:rPr>
      </w:pPr>
      <w:r w:rsidRPr="00780D2B">
        <w:rPr>
          <w:rFonts w:ascii="Arial" w:eastAsia="Arial" w:hAnsi="Arial" w:cs="Arial"/>
          <w:b/>
          <w:bCs/>
          <w:sz w:val="24"/>
          <w:szCs w:val="24"/>
        </w:rPr>
        <w:t>Corresponding author:</w:t>
      </w:r>
    </w:p>
    <w:p w14:paraId="11130762" w14:textId="77777777" w:rsidR="007D17B2" w:rsidRPr="00780D2B" w:rsidRDefault="00000000">
      <w:pPr>
        <w:spacing w:after="0" w:line="480" w:lineRule="auto"/>
        <w:jc w:val="both"/>
        <w:rPr>
          <w:rFonts w:ascii="Arial" w:eastAsia="Arial" w:hAnsi="Arial" w:cs="Arial"/>
          <w:sz w:val="24"/>
          <w:szCs w:val="24"/>
        </w:rPr>
      </w:pPr>
      <w:r w:rsidRPr="00780D2B">
        <w:rPr>
          <w:rFonts w:ascii="Arial" w:eastAsia="Arial" w:hAnsi="Arial" w:cs="Arial"/>
          <w:sz w:val="24"/>
          <w:szCs w:val="24"/>
        </w:rPr>
        <w:t>Laura Cataldi</w:t>
      </w:r>
    </w:p>
    <w:p w14:paraId="220F029C" w14:textId="77777777" w:rsidR="007D17B2" w:rsidRPr="00780D2B" w:rsidRDefault="00000000">
      <w:pPr>
        <w:spacing w:after="0" w:line="480" w:lineRule="auto"/>
        <w:jc w:val="both"/>
        <w:rPr>
          <w:rFonts w:ascii="Arial" w:eastAsia="Arial" w:hAnsi="Arial" w:cs="Arial"/>
          <w:sz w:val="24"/>
          <w:szCs w:val="24"/>
        </w:rPr>
      </w:pPr>
      <w:r w:rsidRPr="00780D2B">
        <w:rPr>
          <w:rFonts w:ascii="Arial" w:eastAsia="Arial" w:hAnsi="Arial" w:cs="Arial"/>
          <w:sz w:val="24"/>
          <w:szCs w:val="24"/>
        </w:rPr>
        <w:t xml:space="preserve">Centre for Seismological Research </w:t>
      </w:r>
    </w:p>
    <w:p w14:paraId="34E3E381" w14:textId="77777777" w:rsidR="007D17B2" w:rsidRPr="00780D2B" w:rsidRDefault="00000000">
      <w:pPr>
        <w:spacing w:after="0" w:line="480" w:lineRule="auto"/>
        <w:jc w:val="both"/>
        <w:rPr>
          <w:rFonts w:ascii="Arial" w:eastAsia="Arial" w:hAnsi="Arial" w:cs="Arial"/>
          <w:sz w:val="24"/>
          <w:szCs w:val="24"/>
        </w:rPr>
      </w:pPr>
      <w:r w:rsidRPr="00780D2B">
        <w:rPr>
          <w:rFonts w:ascii="Arial" w:eastAsia="Arial" w:hAnsi="Arial" w:cs="Arial"/>
          <w:sz w:val="24"/>
          <w:szCs w:val="24"/>
        </w:rPr>
        <w:t>National Institute of Oceanography and Applied Geophysics - OGS</w:t>
      </w:r>
    </w:p>
    <w:p w14:paraId="259B949F" w14:textId="1AC8C91F" w:rsidR="007D17B2" w:rsidRPr="00060660" w:rsidRDefault="00060660">
      <w:pPr>
        <w:spacing w:after="0" w:line="480" w:lineRule="auto"/>
        <w:jc w:val="both"/>
        <w:rPr>
          <w:rFonts w:ascii="Arial" w:eastAsia="Arial" w:hAnsi="Arial" w:cs="Arial"/>
          <w:sz w:val="24"/>
          <w:szCs w:val="24"/>
          <w:lang w:val="it-IT"/>
        </w:rPr>
      </w:pPr>
      <w:r w:rsidRPr="00060660">
        <w:rPr>
          <w:rFonts w:ascii="Arial" w:eastAsia="Arial" w:hAnsi="Arial" w:cs="Arial"/>
          <w:sz w:val="24"/>
          <w:szCs w:val="24"/>
          <w:lang w:val="it-IT"/>
        </w:rPr>
        <w:t xml:space="preserve">Borgo Grotta </w:t>
      </w:r>
      <w:r>
        <w:rPr>
          <w:rFonts w:ascii="Arial" w:eastAsia="Arial" w:hAnsi="Arial" w:cs="Arial"/>
          <w:sz w:val="24"/>
          <w:szCs w:val="24"/>
          <w:lang w:val="it-IT"/>
        </w:rPr>
        <w:t>Gigante 42/C</w:t>
      </w:r>
    </w:p>
    <w:p w14:paraId="5CA1598C" w14:textId="2AF641E1" w:rsidR="007D17B2" w:rsidRPr="00060660" w:rsidRDefault="00060660">
      <w:pPr>
        <w:spacing w:after="0" w:line="480" w:lineRule="auto"/>
        <w:jc w:val="both"/>
        <w:rPr>
          <w:rFonts w:ascii="Arial" w:eastAsia="Arial" w:hAnsi="Arial" w:cs="Arial"/>
          <w:sz w:val="24"/>
          <w:szCs w:val="24"/>
          <w:lang w:val="it-IT"/>
        </w:rPr>
      </w:pPr>
      <w:r>
        <w:rPr>
          <w:rFonts w:ascii="Arial" w:eastAsia="Arial" w:hAnsi="Arial" w:cs="Arial"/>
          <w:sz w:val="24"/>
          <w:szCs w:val="24"/>
          <w:lang w:val="it-IT"/>
        </w:rPr>
        <w:t>34010 Sgonico</w:t>
      </w:r>
      <w:r w:rsidRPr="00060660">
        <w:rPr>
          <w:rFonts w:ascii="Arial" w:eastAsia="Arial" w:hAnsi="Arial" w:cs="Arial"/>
          <w:sz w:val="24"/>
          <w:szCs w:val="24"/>
          <w:lang w:val="it-IT"/>
        </w:rPr>
        <w:t xml:space="preserve"> (</w:t>
      </w:r>
      <w:r>
        <w:rPr>
          <w:rFonts w:ascii="Arial" w:eastAsia="Arial" w:hAnsi="Arial" w:cs="Arial"/>
          <w:sz w:val="24"/>
          <w:szCs w:val="24"/>
          <w:lang w:val="it-IT"/>
        </w:rPr>
        <w:t>TS</w:t>
      </w:r>
      <w:r w:rsidRPr="00060660">
        <w:rPr>
          <w:rFonts w:ascii="Arial" w:eastAsia="Arial" w:hAnsi="Arial" w:cs="Arial"/>
          <w:sz w:val="24"/>
          <w:szCs w:val="24"/>
          <w:lang w:val="it-IT"/>
        </w:rPr>
        <w:t>) - Italy</w:t>
      </w:r>
    </w:p>
    <w:p w14:paraId="34F53C22" w14:textId="77777777" w:rsidR="007D17B2" w:rsidRPr="00780D2B" w:rsidRDefault="00000000">
      <w:pPr>
        <w:spacing w:after="0" w:line="480" w:lineRule="auto"/>
        <w:jc w:val="both"/>
        <w:rPr>
          <w:rFonts w:ascii="Arial" w:eastAsia="Arial" w:hAnsi="Arial" w:cs="Arial"/>
          <w:sz w:val="24"/>
          <w:szCs w:val="24"/>
        </w:rPr>
      </w:pPr>
      <w:r w:rsidRPr="00780D2B">
        <w:rPr>
          <w:rFonts w:ascii="Arial" w:eastAsia="Arial" w:hAnsi="Arial" w:cs="Arial"/>
          <w:sz w:val="24"/>
          <w:szCs w:val="24"/>
        </w:rPr>
        <w:t>+39 3394087492</w:t>
      </w:r>
    </w:p>
    <w:p w14:paraId="3F10A9E3" w14:textId="77777777" w:rsidR="007D17B2" w:rsidRPr="00780D2B" w:rsidRDefault="007D17B2">
      <w:pPr>
        <w:spacing w:after="0" w:line="480" w:lineRule="auto"/>
        <w:jc w:val="both"/>
        <w:rPr>
          <w:rFonts w:ascii="Arial" w:eastAsia="Arial" w:hAnsi="Arial" w:cs="Arial"/>
          <w:sz w:val="24"/>
          <w:szCs w:val="24"/>
        </w:rPr>
      </w:pPr>
      <w:hyperlink r:id="rId9">
        <w:r w:rsidRPr="00780D2B">
          <w:rPr>
            <w:rFonts w:ascii="Arial" w:eastAsia="Arial" w:hAnsi="Arial" w:cs="Arial"/>
            <w:color w:val="1155CC"/>
            <w:sz w:val="24"/>
            <w:szCs w:val="24"/>
            <w:u w:val="single"/>
          </w:rPr>
          <w:t>lcataldi@ogs.it</w:t>
        </w:r>
      </w:hyperlink>
      <w:r w:rsidRPr="00780D2B">
        <w:rPr>
          <w:rFonts w:ascii="Arial" w:eastAsia="Arial" w:hAnsi="Arial" w:cs="Arial"/>
          <w:sz w:val="24"/>
          <w:szCs w:val="24"/>
        </w:rPr>
        <w:t xml:space="preserve"> </w:t>
      </w:r>
    </w:p>
    <w:p w14:paraId="7D523284" w14:textId="77777777" w:rsidR="007D17B2" w:rsidRPr="00780D2B" w:rsidRDefault="00000000">
      <w:pPr>
        <w:spacing w:before="240" w:after="240" w:line="480" w:lineRule="auto"/>
        <w:jc w:val="both"/>
        <w:rPr>
          <w:rFonts w:ascii="Arial" w:eastAsia="Arial" w:hAnsi="Arial" w:cs="Arial"/>
          <w:i/>
          <w:iCs/>
          <w:sz w:val="24"/>
          <w:szCs w:val="24"/>
        </w:rPr>
      </w:pPr>
      <w:r w:rsidRPr="00780D2B">
        <w:rPr>
          <w:rFonts w:ascii="Arial" w:eastAsia="Arial" w:hAnsi="Arial" w:cs="Arial"/>
          <w:b/>
          <w:bCs/>
          <w:sz w:val="24"/>
          <w:szCs w:val="24"/>
        </w:rPr>
        <w:t xml:space="preserve">Keywords: </w:t>
      </w:r>
      <w:r w:rsidRPr="00780D2B">
        <w:rPr>
          <w:rFonts w:ascii="Arial" w:eastAsia="Arial" w:hAnsi="Arial" w:cs="Arial"/>
          <w:i/>
          <w:iCs/>
          <w:sz w:val="24"/>
          <w:szCs w:val="24"/>
        </w:rPr>
        <w:t>Building seismic monitoring; Dynamic characterization; Strong motion dataset; Ambient vibration analysis; Vertical seismic array; Soil–structure interaction</w:t>
      </w:r>
    </w:p>
    <w:p w14:paraId="5568F5FA" w14:textId="2289CE9B" w:rsidR="007D17B2" w:rsidRPr="00780D2B" w:rsidRDefault="000819F4">
      <w:pPr>
        <w:spacing w:before="240" w:after="240" w:line="480" w:lineRule="auto"/>
        <w:jc w:val="both"/>
        <w:rPr>
          <w:sz w:val="24"/>
          <w:szCs w:val="24"/>
        </w:rPr>
      </w:pPr>
      <w:r>
        <w:rPr>
          <w:rFonts w:ascii="Arial" w:eastAsia="Arial" w:hAnsi="Arial" w:cs="Arial"/>
          <w:b/>
          <w:bCs/>
          <w:sz w:val="24"/>
          <w:szCs w:val="24"/>
        </w:rPr>
        <w:t>Declaration of competing</w:t>
      </w:r>
      <w:r w:rsidRPr="00780D2B">
        <w:rPr>
          <w:rFonts w:ascii="Arial" w:eastAsia="Arial" w:hAnsi="Arial" w:cs="Arial"/>
          <w:b/>
          <w:bCs/>
          <w:sz w:val="24"/>
          <w:szCs w:val="24"/>
        </w:rPr>
        <w:t xml:space="preserve"> interests:</w:t>
      </w:r>
      <w:r w:rsidRPr="00780D2B">
        <w:rPr>
          <w:rFonts w:ascii="Arial" w:eastAsia="Arial" w:hAnsi="Arial" w:cs="Arial"/>
          <w:sz w:val="24"/>
          <w:szCs w:val="24"/>
        </w:rPr>
        <w:t xml:space="preserve"> The authors acknowledge there are no conflicts of interest recorded.</w:t>
      </w:r>
      <w:r w:rsidRPr="00780D2B">
        <w:rPr>
          <w:sz w:val="24"/>
          <w:szCs w:val="24"/>
        </w:rPr>
        <w:t xml:space="preserve"> </w:t>
      </w:r>
      <w:r w:rsidRPr="00780D2B">
        <w:br w:type="page"/>
      </w:r>
    </w:p>
    <w:p w14:paraId="36B153C2" w14:textId="77777777" w:rsidR="007D17B2" w:rsidRPr="00780D2B" w:rsidRDefault="00000000">
      <w:pPr>
        <w:pStyle w:val="Titolo1"/>
        <w:spacing w:line="480" w:lineRule="auto"/>
        <w:rPr>
          <w:rFonts w:ascii="Arial" w:eastAsia="Arial" w:hAnsi="Arial" w:cs="Arial"/>
        </w:rPr>
      </w:pPr>
      <w:bookmarkStart w:id="6" w:name="_heading=h.4vu02cj28736" w:colFirst="0" w:colLast="0"/>
      <w:bookmarkEnd w:id="6"/>
      <w:r w:rsidRPr="00780D2B">
        <w:rPr>
          <w:rFonts w:ascii="Arial" w:eastAsia="Arial" w:hAnsi="Arial" w:cs="Arial"/>
        </w:rPr>
        <w:lastRenderedPageBreak/>
        <w:t xml:space="preserve">Abstract </w:t>
      </w:r>
    </w:p>
    <w:p w14:paraId="7DCBD627" w14:textId="513E5C1E" w:rsidR="00435F01" w:rsidRPr="00780D2B" w:rsidRDefault="00000000">
      <w:pPr>
        <w:spacing w:line="480" w:lineRule="auto"/>
        <w:jc w:val="both"/>
        <w:rPr>
          <w:rFonts w:ascii="Arial" w:eastAsia="Arial" w:hAnsi="Arial" w:cs="Arial"/>
          <w:sz w:val="24"/>
          <w:szCs w:val="24"/>
        </w:rPr>
      </w:pPr>
      <w:r w:rsidRPr="00780D2B">
        <w:rPr>
          <w:rFonts w:ascii="Arial" w:eastAsia="Arial" w:hAnsi="Arial" w:cs="Arial"/>
          <w:sz w:val="24"/>
          <w:szCs w:val="24"/>
        </w:rPr>
        <w:t>Hybrid seismic arrays composed of co-located building-borehole sensors are essential for gaining better insight in</w:t>
      </w:r>
      <w:r w:rsidR="00435F01" w:rsidRPr="00780D2B">
        <w:rPr>
          <w:rFonts w:ascii="Arial" w:eastAsia="Arial" w:hAnsi="Arial" w:cs="Arial"/>
          <w:sz w:val="24"/>
          <w:szCs w:val="24"/>
        </w:rPr>
        <w:t>to the behavior of soil-structure systems</w:t>
      </w:r>
      <w:r w:rsidRPr="00780D2B">
        <w:rPr>
          <w:rFonts w:ascii="Arial" w:eastAsia="Arial" w:hAnsi="Arial" w:cs="Arial"/>
          <w:sz w:val="24"/>
          <w:szCs w:val="24"/>
        </w:rPr>
        <w:t xml:space="preserve"> using real data; however, they remain infrequent and are rarely supported by open, long-duration datasets. To help address this gap, we present a new long-term seismic monitoring installation and the associated seismic dataset. </w:t>
      </w:r>
    </w:p>
    <w:p w14:paraId="4BE70E72" w14:textId="449ED534" w:rsidR="007D17B2" w:rsidRPr="00780D2B" w:rsidRDefault="00000000">
      <w:pPr>
        <w:spacing w:line="480" w:lineRule="auto"/>
        <w:jc w:val="both"/>
        <w:rPr>
          <w:rFonts w:ascii="Arial" w:eastAsia="Arial" w:hAnsi="Arial" w:cs="Arial"/>
          <w:sz w:val="24"/>
          <w:szCs w:val="24"/>
        </w:rPr>
      </w:pPr>
      <w:r w:rsidRPr="00780D2B">
        <w:rPr>
          <w:rFonts w:ascii="Arial" w:eastAsia="Arial" w:hAnsi="Arial" w:cs="Arial"/>
          <w:sz w:val="24"/>
          <w:szCs w:val="24"/>
        </w:rPr>
        <w:t xml:space="preserve">The network is installed on and around Terza Torre, a 20-story reinforced concrete building located in Bologna, Northern Italy. It </w:t>
      </w:r>
      <w:r w:rsidR="00435F01" w:rsidRPr="00780D2B">
        <w:rPr>
          <w:rFonts w:ascii="Arial" w:eastAsia="Arial" w:hAnsi="Arial" w:cs="Arial"/>
          <w:sz w:val="24"/>
          <w:szCs w:val="24"/>
        </w:rPr>
        <w:t xml:space="preserve">comprises </w:t>
      </w:r>
      <w:r w:rsidRPr="00780D2B">
        <w:rPr>
          <w:rFonts w:ascii="Arial" w:eastAsia="Arial" w:hAnsi="Arial" w:cs="Arial"/>
          <w:sz w:val="24"/>
          <w:szCs w:val="24"/>
        </w:rPr>
        <w:t>eight three-component stations deployed along the building’s height, including a basement reference station, and a nearby borehole station equipped with a surface and a downhole sensor at 50 m depth. The array was deployed in 2023 as part of a collaborative effort between the Emilia-Romagna Regional Government and the National Institute of Oceanography and Applied Geophysics - OGS to investigate</w:t>
      </w:r>
      <w:r w:rsidR="00EA073F" w:rsidRPr="00780D2B">
        <w:rPr>
          <w:rFonts w:ascii="Arial" w:eastAsia="Arial" w:hAnsi="Arial" w:cs="Arial"/>
          <w:sz w:val="24"/>
          <w:szCs w:val="24"/>
        </w:rPr>
        <w:t xml:space="preserve"> </w:t>
      </w:r>
      <w:r w:rsidR="00DC3644" w:rsidRPr="00780D2B">
        <w:rPr>
          <w:rFonts w:ascii="Arial" w:eastAsia="Arial" w:hAnsi="Arial" w:cs="Arial"/>
          <w:sz w:val="24"/>
          <w:szCs w:val="24"/>
        </w:rPr>
        <w:t xml:space="preserve">the seismic response of a strategic building and possible </w:t>
      </w:r>
      <w:r w:rsidRPr="00780D2B">
        <w:rPr>
          <w:rFonts w:ascii="Arial" w:eastAsia="Arial" w:hAnsi="Arial" w:cs="Arial"/>
          <w:sz w:val="24"/>
          <w:szCs w:val="24"/>
        </w:rPr>
        <w:t>SSI effects in urban environments typical of the Po Plain.</w:t>
      </w:r>
    </w:p>
    <w:p w14:paraId="7A220480" w14:textId="22B619B5" w:rsidR="007D17B2" w:rsidRPr="00780D2B" w:rsidRDefault="00000000">
      <w:pPr>
        <w:spacing w:line="480" w:lineRule="auto"/>
        <w:jc w:val="both"/>
        <w:rPr>
          <w:rFonts w:ascii="Arial" w:eastAsia="Arial" w:hAnsi="Arial" w:cs="Arial"/>
          <w:sz w:val="24"/>
          <w:szCs w:val="24"/>
        </w:rPr>
      </w:pPr>
      <w:r w:rsidRPr="00780D2B">
        <w:rPr>
          <w:rFonts w:ascii="Arial" w:eastAsia="Arial" w:hAnsi="Arial" w:cs="Arial"/>
          <w:sz w:val="24"/>
          <w:szCs w:val="24"/>
        </w:rPr>
        <w:t>The dataset includes recordings of 30 local and regional earthquakes (ML 3.0–4.8)</w:t>
      </w:r>
      <w:r w:rsidR="00DC3644" w:rsidRPr="00780D2B">
        <w:rPr>
          <w:rFonts w:ascii="Arial" w:eastAsia="Arial" w:hAnsi="Arial" w:cs="Arial"/>
          <w:sz w:val="24"/>
          <w:szCs w:val="24"/>
        </w:rPr>
        <w:t xml:space="preserve"> and</w:t>
      </w:r>
      <w:r w:rsidRPr="00780D2B">
        <w:rPr>
          <w:rFonts w:ascii="Arial" w:eastAsia="Arial" w:hAnsi="Arial" w:cs="Arial"/>
          <w:sz w:val="24"/>
          <w:szCs w:val="24"/>
        </w:rPr>
        <w:t xml:space="preserve"> continuous ambient vibration. The quality of the dataset</w:t>
      </w:r>
      <w:r w:rsidR="00DC3644" w:rsidRPr="00780D2B">
        <w:rPr>
          <w:rFonts w:ascii="Arial" w:eastAsia="Arial" w:hAnsi="Arial" w:cs="Arial"/>
          <w:sz w:val="24"/>
          <w:szCs w:val="24"/>
        </w:rPr>
        <w:t xml:space="preserve"> is analyzed</w:t>
      </w:r>
      <w:r w:rsidRPr="00780D2B">
        <w:rPr>
          <w:rFonts w:ascii="Arial" w:eastAsia="Arial" w:hAnsi="Arial" w:cs="Arial"/>
          <w:sz w:val="24"/>
          <w:szCs w:val="24"/>
        </w:rPr>
        <w:t xml:space="preserve"> in terms of signal-to-noise ratio, including possible applications and limitations. Three </w:t>
      </w:r>
      <w:r w:rsidR="00DC3644" w:rsidRPr="00780D2B">
        <w:rPr>
          <w:rFonts w:ascii="Arial" w:eastAsia="Arial" w:hAnsi="Arial" w:cs="Arial"/>
          <w:sz w:val="24"/>
          <w:szCs w:val="24"/>
        </w:rPr>
        <w:t xml:space="preserve">applications </w:t>
      </w:r>
      <w:r w:rsidRPr="00780D2B">
        <w:rPr>
          <w:rFonts w:ascii="Arial" w:eastAsia="Arial" w:hAnsi="Arial" w:cs="Arial"/>
          <w:sz w:val="24"/>
          <w:szCs w:val="24"/>
        </w:rPr>
        <w:t>are exemplified,</w:t>
      </w:r>
      <w:r w:rsidR="00BB5034" w:rsidRPr="00780D2B">
        <w:rPr>
          <w:rFonts w:ascii="Arial" w:eastAsia="Arial" w:hAnsi="Arial" w:cs="Arial"/>
          <w:sz w:val="24"/>
          <w:szCs w:val="24"/>
        </w:rPr>
        <w:t xml:space="preserve"> </w:t>
      </w:r>
      <w:r w:rsidR="00DC3644" w:rsidRPr="00780D2B">
        <w:rPr>
          <w:rFonts w:ascii="Arial" w:eastAsia="Arial" w:hAnsi="Arial" w:cs="Arial"/>
          <w:sz w:val="24"/>
          <w:szCs w:val="24"/>
        </w:rPr>
        <w:t xml:space="preserve">demonstrating its potential to estimate </w:t>
      </w:r>
      <w:r w:rsidRPr="00780D2B">
        <w:rPr>
          <w:rFonts w:ascii="Arial" w:eastAsia="Arial" w:hAnsi="Arial" w:cs="Arial"/>
          <w:sz w:val="24"/>
          <w:szCs w:val="24"/>
        </w:rPr>
        <w:t xml:space="preserve">the building’s fundamental frequencies and the corresponding modes, and to </w:t>
      </w:r>
      <w:r w:rsidR="00DC3644" w:rsidRPr="00780D2B">
        <w:rPr>
          <w:rFonts w:ascii="Arial" w:eastAsia="Arial" w:hAnsi="Arial" w:cs="Arial"/>
          <w:sz w:val="24"/>
          <w:szCs w:val="24"/>
        </w:rPr>
        <w:t xml:space="preserve">assess </w:t>
      </w:r>
      <w:r w:rsidRPr="00780D2B">
        <w:rPr>
          <w:rFonts w:ascii="Arial" w:eastAsia="Arial" w:hAnsi="Arial" w:cs="Arial"/>
          <w:sz w:val="24"/>
          <w:szCs w:val="24"/>
        </w:rPr>
        <w:t>the local site response.</w:t>
      </w:r>
      <w:r w:rsidR="00985D9A" w:rsidRPr="00780D2B">
        <w:rPr>
          <w:rFonts w:ascii="Arial" w:eastAsia="Arial" w:hAnsi="Arial" w:cs="Arial"/>
          <w:sz w:val="24"/>
          <w:szCs w:val="24"/>
        </w:rPr>
        <w:t xml:space="preserve"> </w:t>
      </w:r>
      <w:r w:rsidR="00DC3644" w:rsidRPr="00780D2B">
        <w:rPr>
          <w:rFonts w:ascii="Arial" w:eastAsia="Arial" w:hAnsi="Arial" w:cs="Arial"/>
          <w:sz w:val="24"/>
          <w:szCs w:val="24"/>
        </w:rPr>
        <w:t>Should</w:t>
      </w:r>
      <w:r w:rsidR="00985D9A" w:rsidRPr="00780D2B">
        <w:rPr>
          <w:rFonts w:ascii="Arial" w:eastAsia="Arial" w:hAnsi="Arial" w:cs="Arial"/>
          <w:sz w:val="24"/>
          <w:szCs w:val="24"/>
        </w:rPr>
        <w:t xml:space="preserve"> stronger seismic events be recorded in the future, </w:t>
      </w:r>
      <w:r w:rsidR="00DC3644" w:rsidRPr="00780D2B">
        <w:rPr>
          <w:rFonts w:ascii="Arial" w:eastAsia="Arial" w:hAnsi="Arial" w:cs="Arial"/>
          <w:sz w:val="24"/>
          <w:szCs w:val="24"/>
        </w:rPr>
        <w:t>soil-structure interactions effects may be studied using earthquake recordings from the infrastructure</w:t>
      </w:r>
      <w:r w:rsidR="00985D9A" w:rsidRPr="00780D2B">
        <w:rPr>
          <w:rFonts w:ascii="Arial" w:eastAsia="Arial" w:hAnsi="Arial" w:cs="Arial"/>
          <w:sz w:val="24"/>
          <w:szCs w:val="24"/>
        </w:rPr>
        <w:t xml:space="preserve">. </w:t>
      </w:r>
    </w:p>
    <w:p w14:paraId="0613A195" w14:textId="2EF966B3" w:rsidR="007D17B2" w:rsidRPr="00780D2B" w:rsidRDefault="00000000">
      <w:pPr>
        <w:spacing w:after="240" w:line="480" w:lineRule="auto"/>
        <w:jc w:val="both"/>
        <w:rPr>
          <w:rFonts w:ascii="Arial" w:eastAsia="Arial" w:hAnsi="Arial" w:cs="Arial"/>
          <w:sz w:val="24"/>
          <w:szCs w:val="24"/>
        </w:rPr>
      </w:pPr>
      <w:r w:rsidRPr="00780D2B">
        <w:rPr>
          <w:rFonts w:ascii="Arial" w:eastAsia="Arial" w:hAnsi="Arial" w:cs="Arial"/>
          <w:sz w:val="24"/>
          <w:szCs w:val="24"/>
        </w:rPr>
        <w:lastRenderedPageBreak/>
        <w:t>The</w:t>
      </w:r>
      <w:r w:rsidR="00985D9A" w:rsidRPr="00780D2B">
        <w:rPr>
          <w:rFonts w:ascii="Arial" w:eastAsia="Arial" w:hAnsi="Arial" w:cs="Arial"/>
          <w:sz w:val="24"/>
          <w:szCs w:val="24"/>
        </w:rPr>
        <w:t xml:space="preserve"> </w:t>
      </w:r>
      <w:r w:rsidRPr="00780D2B">
        <w:rPr>
          <w:rFonts w:ascii="Arial" w:eastAsia="Arial" w:hAnsi="Arial" w:cs="Arial"/>
          <w:sz w:val="24"/>
          <w:szCs w:val="24"/>
        </w:rPr>
        <w:t>dataset provides a rare opportunity to investigate the dynamic response of a tall building founded on soft soil and serves as a reference for validating numerical models</w:t>
      </w:r>
      <w:r w:rsidR="00DC3644" w:rsidRPr="00780D2B">
        <w:rPr>
          <w:rFonts w:ascii="Arial" w:eastAsia="Arial" w:hAnsi="Arial" w:cs="Arial"/>
          <w:sz w:val="24"/>
          <w:szCs w:val="24"/>
        </w:rPr>
        <w:t xml:space="preserve"> and</w:t>
      </w:r>
      <w:r w:rsidRPr="00780D2B">
        <w:rPr>
          <w:rFonts w:ascii="Arial" w:eastAsia="Arial" w:hAnsi="Arial" w:cs="Arial"/>
          <w:sz w:val="24"/>
          <w:szCs w:val="24"/>
        </w:rPr>
        <w:t xml:space="preserve"> studying nonstationary structural behavior.</w:t>
      </w:r>
      <w:r w:rsidR="00985D9A" w:rsidRPr="00780D2B">
        <w:rPr>
          <w:rFonts w:ascii="Arial" w:eastAsia="Arial" w:hAnsi="Arial" w:cs="Arial"/>
          <w:sz w:val="24"/>
          <w:szCs w:val="24"/>
        </w:rPr>
        <w:t xml:space="preserve"> </w:t>
      </w:r>
      <w:r w:rsidRPr="00780D2B">
        <w:rPr>
          <w:rFonts w:ascii="Arial" w:eastAsia="Arial" w:hAnsi="Arial" w:cs="Arial"/>
          <w:sz w:val="24"/>
          <w:szCs w:val="24"/>
        </w:rPr>
        <w:t>Data and metadata of the first two years of the network operativity are made publicly available under FAIR principles within two years from publication.</w:t>
      </w:r>
    </w:p>
    <w:p w14:paraId="3A2A8701" w14:textId="77777777" w:rsidR="007D17B2" w:rsidRPr="00780D2B" w:rsidRDefault="00000000">
      <w:pPr>
        <w:pStyle w:val="Titolo1"/>
        <w:spacing w:line="480" w:lineRule="auto"/>
        <w:rPr>
          <w:rFonts w:ascii="Arial" w:eastAsia="Arial" w:hAnsi="Arial" w:cs="Arial"/>
        </w:rPr>
      </w:pPr>
      <w:bookmarkStart w:id="7" w:name="_heading=h.a2b5ysspprmc" w:colFirst="0" w:colLast="0"/>
      <w:bookmarkEnd w:id="7"/>
      <w:r w:rsidRPr="00780D2B">
        <w:rPr>
          <w:rFonts w:ascii="Arial" w:eastAsia="Arial" w:hAnsi="Arial" w:cs="Arial"/>
        </w:rPr>
        <w:t>Introduction</w:t>
      </w:r>
    </w:p>
    <w:p w14:paraId="0C89FBD8" w14:textId="246730E6" w:rsidR="007D17B2" w:rsidRPr="00780D2B" w:rsidRDefault="00000000">
      <w:pPr>
        <w:spacing w:line="480" w:lineRule="auto"/>
        <w:jc w:val="both"/>
        <w:rPr>
          <w:rFonts w:ascii="Arial" w:eastAsia="Arial" w:hAnsi="Arial" w:cs="Arial"/>
          <w:sz w:val="24"/>
          <w:szCs w:val="24"/>
        </w:rPr>
      </w:pPr>
      <w:r w:rsidRPr="00780D2B">
        <w:rPr>
          <w:rFonts w:ascii="Arial" w:eastAsia="Arial" w:hAnsi="Arial" w:cs="Arial"/>
          <w:sz w:val="24"/>
          <w:szCs w:val="24"/>
        </w:rPr>
        <w:t xml:space="preserve">During an earthquake, a structure responds to incoming seismic waves, which can be influenced by near-surface propagation effects caused by variations in near-surface geology (e.g., Aki, 1993), and to feedback mechanisms between the building and the ground, the so-called soil-structure interaction (SSI; e.g., Bard </w:t>
      </w:r>
      <w:r w:rsidRPr="00780D2B">
        <w:rPr>
          <w:rFonts w:ascii="Arial" w:eastAsia="Arial" w:hAnsi="Arial" w:cs="Arial"/>
          <w:i/>
          <w:iCs/>
          <w:sz w:val="24"/>
          <w:szCs w:val="24"/>
        </w:rPr>
        <w:t>et al.</w:t>
      </w:r>
      <w:r w:rsidRPr="00780D2B">
        <w:rPr>
          <w:rFonts w:ascii="Arial" w:eastAsia="Arial" w:hAnsi="Arial" w:cs="Arial"/>
          <w:sz w:val="24"/>
          <w:szCs w:val="24"/>
        </w:rPr>
        <w:t>, 1996). Understanding</w:t>
      </w:r>
      <w:r w:rsidR="00DC3644" w:rsidRPr="00780D2B">
        <w:rPr>
          <w:rFonts w:ascii="Arial" w:eastAsia="Arial" w:hAnsi="Arial" w:cs="Arial"/>
          <w:sz w:val="24"/>
          <w:szCs w:val="24"/>
        </w:rPr>
        <w:t xml:space="preserve"> seismic wave propagation in soils and buildings as well as</w:t>
      </w:r>
      <w:r w:rsidRPr="00780D2B">
        <w:rPr>
          <w:rFonts w:ascii="Arial" w:eastAsia="Arial" w:hAnsi="Arial" w:cs="Arial"/>
          <w:sz w:val="24"/>
          <w:szCs w:val="24"/>
        </w:rPr>
        <w:t xml:space="preserve"> SSI is fundamental for improving the assessment of seismic risk and expected damage in urban environments. SSI can alter ground motion amplitudes and frequency content, influence structural response, and even lead to localized amplification or </w:t>
      </w:r>
      <w:proofErr w:type="spellStart"/>
      <w:r w:rsidRPr="00780D2B">
        <w:rPr>
          <w:rFonts w:ascii="Arial" w:eastAsia="Arial" w:hAnsi="Arial" w:cs="Arial"/>
          <w:sz w:val="24"/>
          <w:szCs w:val="24"/>
        </w:rPr>
        <w:t>deamplification</w:t>
      </w:r>
      <w:proofErr w:type="spellEnd"/>
      <w:r w:rsidRPr="00780D2B">
        <w:rPr>
          <w:rFonts w:ascii="Arial" w:eastAsia="Arial" w:hAnsi="Arial" w:cs="Arial"/>
          <w:sz w:val="24"/>
          <w:szCs w:val="24"/>
        </w:rPr>
        <w:t xml:space="preserve"> effects that are not predicted by free-field models (e.g., Gueguen </w:t>
      </w:r>
      <w:r w:rsidRPr="00780D2B">
        <w:rPr>
          <w:rFonts w:ascii="Arial" w:eastAsia="Arial" w:hAnsi="Arial" w:cs="Arial"/>
          <w:i/>
          <w:iCs/>
          <w:sz w:val="24"/>
          <w:szCs w:val="24"/>
        </w:rPr>
        <w:t>et al.</w:t>
      </w:r>
      <w:hyperlink r:id="rId10">
        <w:r w:rsidR="007D17B2" w:rsidRPr="00780D2B">
          <w:rPr>
            <w:rFonts w:ascii="Arial" w:eastAsia="Arial" w:hAnsi="Arial" w:cs="Arial"/>
            <w:sz w:val="24"/>
            <w:szCs w:val="24"/>
          </w:rPr>
          <w:t xml:space="preserve">, </w:t>
        </w:r>
      </w:hyperlink>
      <w:r w:rsidRPr="00780D2B">
        <w:rPr>
          <w:rFonts w:ascii="Arial" w:eastAsia="Arial" w:hAnsi="Arial" w:cs="Arial"/>
          <w:sz w:val="24"/>
          <w:szCs w:val="24"/>
        </w:rPr>
        <w:t xml:space="preserve">2000; </w:t>
      </w:r>
      <w:proofErr w:type="spellStart"/>
      <w:r w:rsidRPr="00780D2B">
        <w:rPr>
          <w:rFonts w:ascii="Arial" w:eastAsia="Arial" w:hAnsi="Arial" w:cs="Arial"/>
          <w:sz w:val="24"/>
          <w:szCs w:val="24"/>
        </w:rPr>
        <w:t>Skłodowska</w:t>
      </w:r>
      <w:proofErr w:type="spellEnd"/>
      <w:r w:rsidRPr="00780D2B">
        <w:rPr>
          <w:rFonts w:ascii="Arial" w:eastAsia="Arial" w:hAnsi="Arial" w:cs="Arial"/>
          <w:sz w:val="24"/>
          <w:szCs w:val="24"/>
        </w:rPr>
        <w:t xml:space="preserve"> </w:t>
      </w:r>
      <w:r w:rsidRPr="00780D2B">
        <w:rPr>
          <w:rFonts w:ascii="Arial" w:eastAsia="Arial" w:hAnsi="Arial" w:cs="Arial"/>
          <w:i/>
          <w:iCs/>
          <w:sz w:val="24"/>
          <w:szCs w:val="24"/>
        </w:rPr>
        <w:t>et al.</w:t>
      </w:r>
      <w:r w:rsidRPr="00780D2B">
        <w:rPr>
          <w:rFonts w:ascii="Arial" w:eastAsia="Arial" w:hAnsi="Arial" w:cs="Arial"/>
          <w:sz w:val="24"/>
          <w:szCs w:val="24"/>
        </w:rPr>
        <w:t xml:space="preserve">, 2023). In dense urban environments, these effects may be compounded by interactions among multiple structures, a phenomenon known as site-city interaction (SCI; e.g., Gueguen </w:t>
      </w:r>
      <w:r w:rsidRPr="00780D2B">
        <w:rPr>
          <w:rFonts w:ascii="Arial" w:eastAsia="Arial" w:hAnsi="Arial" w:cs="Arial"/>
          <w:i/>
          <w:iCs/>
          <w:sz w:val="24"/>
          <w:szCs w:val="24"/>
        </w:rPr>
        <w:t>et al.</w:t>
      </w:r>
      <w:r w:rsidRPr="00780D2B">
        <w:rPr>
          <w:rFonts w:ascii="Arial" w:eastAsia="Arial" w:hAnsi="Arial" w:cs="Arial"/>
          <w:sz w:val="24"/>
          <w:szCs w:val="24"/>
        </w:rPr>
        <w:t xml:space="preserve">, 2002; Bard </w:t>
      </w:r>
      <w:r w:rsidRPr="00780D2B">
        <w:rPr>
          <w:rFonts w:ascii="Arial" w:eastAsia="Arial" w:hAnsi="Arial" w:cs="Arial"/>
          <w:i/>
          <w:iCs/>
          <w:sz w:val="24"/>
          <w:szCs w:val="24"/>
        </w:rPr>
        <w:t>et al.</w:t>
      </w:r>
      <w:r w:rsidRPr="00780D2B">
        <w:rPr>
          <w:rFonts w:ascii="Arial" w:eastAsia="Arial" w:hAnsi="Arial" w:cs="Arial"/>
          <w:sz w:val="24"/>
          <w:szCs w:val="24"/>
        </w:rPr>
        <w:t xml:space="preserve">, 2008; </w:t>
      </w:r>
      <w:proofErr w:type="spellStart"/>
      <w:r w:rsidRPr="00780D2B">
        <w:rPr>
          <w:rFonts w:ascii="Arial" w:eastAsia="Arial" w:hAnsi="Arial" w:cs="Arial"/>
          <w:sz w:val="24"/>
          <w:szCs w:val="24"/>
        </w:rPr>
        <w:t>Semblat</w:t>
      </w:r>
      <w:proofErr w:type="spellEnd"/>
      <w:r w:rsidRPr="00780D2B">
        <w:rPr>
          <w:rFonts w:ascii="Arial" w:eastAsia="Arial" w:hAnsi="Arial" w:cs="Arial"/>
          <w:sz w:val="24"/>
          <w:szCs w:val="24"/>
        </w:rPr>
        <w:t xml:space="preserve"> </w:t>
      </w:r>
      <w:r w:rsidRPr="00780D2B">
        <w:rPr>
          <w:rFonts w:ascii="Arial" w:eastAsia="Arial" w:hAnsi="Arial" w:cs="Arial"/>
          <w:i/>
          <w:iCs/>
          <w:sz w:val="24"/>
          <w:szCs w:val="24"/>
        </w:rPr>
        <w:t>et al.</w:t>
      </w:r>
      <w:r w:rsidRPr="00780D2B">
        <w:rPr>
          <w:rFonts w:ascii="Arial" w:eastAsia="Arial" w:hAnsi="Arial" w:cs="Arial"/>
          <w:sz w:val="24"/>
          <w:szCs w:val="24"/>
        </w:rPr>
        <w:t>, 2008).</w:t>
      </w:r>
    </w:p>
    <w:p w14:paraId="248F5614" w14:textId="13D0C1B5" w:rsidR="007D17B2" w:rsidRPr="00780D2B" w:rsidRDefault="00000000">
      <w:pPr>
        <w:spacing w:line="480" w:lineRule="auto"/>
        <w:jc w:val="both"/>
        <w:rPr>
          <w:rFonts w:ascii="Arial" w:eastAsia="Arial" w:hAnsi="Arial" w:cs="Arial"/>
          <w:sz w:val="24"/>
          <w:szCs w:val="24"/>
        </w:rPr>
      </w:pPr>
      <w:r w:rsidRPr="00780D2B">
        <w:rPr>
          <w:rFonts w:ascii="Arial" w:eastAsia="Arial" w:hAnsi="Arial" w:cs="Arial"/>
          <w:sz w:val="24"/>
          <w:szCs w:val="24"/>
        </w:rPr>
        <w:t>Over the past three decades, these interactions have been extensively investigated using two- and three-dimensional numerical simulations, significantly advancing our theoretical understanding of how buildings respond to, and influence, seismic waves.</w:t>
      </w:r>
      <w:r w:rsidRPr="00780D2B">
        <w:rPr>
          <w:rFonts w:ascii="Arial" w:eastAsia="Arial" w:hAnsi="Arial" w:cs="Arial"/>
          <w:color w:val="EE0000"/>
          <w:sz w:val="24"/>
          <w:szCs w:val="24"/>
        </w:rPr>
        <w:t xml:space="preserve"> </w:t>
      </w:r>
      <w:r w:rsidRPr="00780D2B">
        <w:rPr>
          <w:rFonts w:ascii="Arial" w:eastAsia="Arial" w:hAnsi="Arial" w:cs="Arial"/>
          <w:sz w:val="24"/>
          <w:szCs w:val="24"/>
        </w:rPr>
        <w:t xml:space="preserve">The numerical analyses shed light on the many possible characteristics of SSI and SCI, such as the role </w:t>
      </w:r>
      <w:r w:rsidRPr="00780D2B">
        <w:rPr>
          <w:rFonts w:ascii="Arial" w:eastAsia="Arial" w:hAnsi="Arial" w:cs="Arial"/>
          <w:sz w:val="24"/>
          <w:szCs w:val="24"/>
        </w:rPr>
        <w:lastRenderedPageBreak/>
        <w:t xml:space="preserve">of building density and city configuration in the energy distribution (Kham </w:t>
      </w:r>
      <w:r w:rsidRPr="00780D2B">
        <w:rPr>
          <w:rFonts w:ascii="Arial" w:eastAsia="Arial" w:hAnsi="Arial" w:cs="Arial"/>
          <w:i/>
          <w:iCs/>
          <w:sz w:val="24"/>
          <w:szCs w:val="24"/>
        </w:rPr>
        <w:t>et al</w:t>
      </w:r>
      <w:r w:rsidRPr="00780D2B">
        <w:rPr>
          <w:rFonts w:ascii="Arial" w:eastAsia="Arial" w:hAnsi="Arial" w:cs="Arial"/>
          <w:sz w:val="24"/>
          <w:szCs w:val="24"/>
        </w:rPr>
        <w:t>., 2006), the dependency of the effects from the number and dynamic properties of the buildings, their separation, and their impedance with respect to the soil (</w:t>
      </w:r>
      <w:proofErr w:type="spellStart"/>
      <w:r w:rsidRPr="00780D2B">
        <w:rPr>
          <w:rFonts w:ascii="Arial" w:eastAsia="Arial" w:hAnsi="Arial" w:cs="Arial"/>
          <w:sz w:val="24"/>
          <w:szCs w:val="24"/>
        </w:rPr>
        <w:t>Isbiliroglu</w:t>
      </w:r>
      <w:proofErr w:type="spellEnd"/>
      <w:r w:rsidRPr="00780D2B">
        <w:rPr>
          <w:rFonts w:ascii="Arial" w:eastAsia="Arial" w:hAnsi="Arial" w:cs="Arial"/>
          <w:sz w:val="24"/>
          <w:szCs w:val="24"/>
        </w:rPr>
        <w:t xml:space="preserve"> </w:t>
      </w:r>
      <w:r w:rsidRPr="00780D2B">
        <w:rPr>
          <w:rFonts w:ascii="Arial" w:eastAsia="Arial" w:hAnsi="Arial" w:cs="Arial"/>
          <w:i/>
          <w:iCs/>
          <w:sz w:val="24"/>
          <w:szCs w:val="24"/>
        </w:rPr>
        <w:t>et al</w:t>
      </w:r>
      <w:r w:rsidRPr="00780D2B">
        <w:rPr>
          <w:rFonts w:ascii="Arial" w:eastAsia="Arial" w:hAnsi="Arial" w:cs="Arial"/>
          <w:sz w:val="24"/>
          <w:szCs w:val="24"/>
        </w:rPr>
        <w:t xml:space="preserve">., 2015), and the variability effects that the buildings generate all around their foundations as well as in the entire area where they are located, with both amplifying SSI effects and contrasting de-amplifying SCI effects (Varone </w:t>
      </w:r>
      <w:r w:rsidRPr="00780D2B">
        <w:rPr>
          <w:rFonts w:ascii="Arial" w:eastAsia="Arial" w:hAnsi="Arial" w:cs="Arial"/>
          <w:i/>
          <w:iCs/>
          <w:sz w:val="24"/>
          <w:szCs w:val="24"/>
        </w:rPr>
        <w:t>et al</w:t>
      </w:r>
      <w:r w:rsidRPr="00780D2B">
        <w:rPr>
          <w:rFonts w:ascii="Arial" w:eastAsia="Arial" w:hAnsi="Arial" w:cs="Arial"/>
          <w:sz w:val="24"/>
          <w:szCs w:val="24"/>
        </w:rPr>
        <w:t>., 2021). In fact, it has also been shown that even when the influence of SCI on amplification levels is small, it could modify both main amplification frequencies and location of the maximum amplification areas (</w:t>
      </w:r>
      <w:proofErr w:type="spellStart"/>
      <w:r w:rsidRPr="00780D2B">
        <w:rPr>
          <w:rFonts w:ascii="Arial" w:eastAsia="Arial" w:hAnsi="Arial" w:cs="Arial"/>
          <w:sz w:val="24"/>
          <w:szCs w:val="24"/>
        </w:rPr>
        <w:t>Semblat</w:t>
      </w:r>
      <w:proofErr w:type="spellEnd"/>
      <w:r w:rsidRPr="00780D2B">
        <w:rPr>
          <w:rFonts w:ascii="Arial" w:eastAsia="Arial" w:hAnsi="Arial" w:cs="Arial"/>
          <w:sz w:val="24"/>
          <w:szCs w:val="24"/>
        </w:rPr>
        <w:t xml:space="preserve"> </w:t>
      </w:r>
      <w:r w:rsidRPr="00780D2B">
        <w:rPr>
          <w:rFonts w:ascii="Arial" w:eastAsia="Arial" w:hAnsi="Arial" w:cs="Arial"/>
          <w:i/>
          <w:iCs/>
          <w:sz w:val="24"/>
          <w:szCs w:val="24"/>
        </w:rPr>
        <w:t>et al</w:t>
      </w:r>
      <w:r w:rsidRPr="00780D2B">
        <w:rPr>
          <w:rFonts w:ascii="Arial" w:eastAsia="Arial" w:hAnsi="Arial" w:cs="Arial"/>
          <w:sz w:val="24"/>
          <w:szCs w:val="24"/>
        </w:rPr>
        <w:t xml:space="preserve">., 2002). To support the numerical results, which could be affected by limitations related to the necessary modelling simplifications, the models should be validated using empirical data. In some cases, this was possible thanks to recordings of damaging earthquakes recorded by chance on adjacent buildings (Laurenzano </w:t>
      </w:r>
      <w:r w:rsidRPr="00780D2B">
        <w:rPr>
          <w:rFonts w:ascii="Arial" w:eastAsia="Arial" w:hAnsi="Arial" w:cs="Arial"/>
          <w:i/>
          <w:iCs/>
          <w:sz w:val="24"/>
          <w:szCs w:val="24"/>
        </w:rPr>
        <w:t>et al</w:t>
      </w:r>
      <w:r w:rsidRPr="00780D2B">
        <w:rPr>
          <w:rFonts w:ascii="Arial" w:eastAsia="Arial" w:hAnsi="Arial" w:cs="Arial"/>
          <w:sz w:val="24"/>
          <w:szCs w:val="24"/>
        </w:rPr>
        <w:t>., 2010). Nonetheless, empirical validation of such models remains limited due to the scarcity of long-term, high-quality observational datasets including both recordings at the ground and at different floors in the building.</w:t>
      </w:r>
    </w:p>
    <w:p w14:paraId="29E5F11E" w14:textId="19926FA4" w:rsidR="007D17B2" w:rsidRPr="00780D2B" w:rsidRDefault="00000000">
      <w:pPr>
        <w:spacing w:line="480" w:lineRule="auto"/>
        <w:jc w:val="both"/>
        <w:rPr>
          <w:rFonts w:ascii="Arial" w:eastAsia="Arial" w:hAnsi="Arial" w:cs="Arial"/>
          <w:sz w:val="24"/>
          <w:szCs w:val="24"/>
        </w:rPr>
      </w:pPr>
      <w:r w:rsidRPr="00780D2B">
        <w:rPr>
          <w:rFonts w:ascii="Arial" w:eastAsia="Arial" w:hAnsi="Arial" w:cs="Arial"/>
          <w:sz w:val="24"/>
          <w:szCs w:val="24"/>
        </w:rPr>
        <w:t xml:space="preserve">Complementing the numerical modeling studies, observational studies have confirmed that buildings can radiate seismic energy back into the surrounding soil, modifying the wavefield and contaminating free-field recordings (e.g., Jennings, 1970; Wirgin and Bard, 1996; Gueguen </w:t>
      </w:r>
      <w:r w:rsidRPr="00780D2B">
        <w:rPr>
          <w:rFonts w:ascii="Arial" w:eastAsia="Arial" w:hAnsi="Arial" w:cs="Arial"/>
          <w:i/>
          <w:iCs/>
          <w:sz w:val="24"/>
          <w:szCs w:val="24"/>
        </w:rPr>
        <w:t>et al.</w:t>
      </w:r>
      <w:hyperlink r:id="rId11">
        <w:r w:rsidR="007D17B2" w:rsidRPr="00780D2B">
          <w:rPr>
            <w:rFonts w:ascii="Arial" w:eastAsia="Arial" w:hAnsi="Arial" w:cs="Arial"/>
            <w:sz w:val="24"/>
            <w:szCs w:val="24"/>
          </w:rPr>
          <w:t xml:space="preserve">, </w:t>
        </w:r>
      </w:hyperlink>
      <w:r w:rsidRPr="00780D2B">
        <w:rPr>
          <w:rFonts w:ascii="Arial" w:eastAsia="Arial" w:hAnsi="Arial" w:cs="Arial"/>
          <w:sz w:val="24"/>
          <w:szCs w:val="24"/>
        </w:rPr>
        <w:t xml:space="preserve">2000; Petrovic and </w:t>
      </w:r>
      <w:proofErr w:type="spellStart"/>
      <w:r w:rsidRPr="00780D2B">
        <w:rPr>
          <w:rFonts w:ascii="Arial" w:eastAsia="Arial" w:hAnsi="Arial" w:cs="Arial"/>
          <w:sz w:val="24"/>
          <w:szCs w:val="24"/>
        </w:rPr>
        <w:t>Parolai</w:t>
      </w:r>
      <w:proofErr w:type="spellEnd"/>
      <w:r w:rsidRPr="00780D2B">
        <w:rPr>
          <w:rFonts w:ascii="Arial" w:eastAsia="Arial" w:hAnsi="Arial" w:cs="Arial"/>
          <w:sz w:val="24"/>
          <w:szCs w:val="24"/>
        </w:rPr>
        <w:t xml:space="preserve">, 2016; Petrovic et al., 2018, Petrovic </w:t>
      </w:r>
      <w:r w:rsidRPr="00780D2B">
        <w:rPr>
          <w:rFonts w:ascii="Arial" w:eastAsia="Arial" w:hAnsi="Arial" w:cs="Arial"/>
          <w:i/>
          <w:iCs/>
          <w:sz w:val="24"/>
          <w:szCs w:val="24"/>
        </w:rPr>
        <w:t>et al.</w:t>
      </w:r>
      <w:r w:rsidRPr="00780D2B">
        <w:rPr>
          <w:rFonts w:ascii="Arial" w:eastAsia="Arial" w:hAnsi="Arial" w:cs="Arial"/>
          <w:sz w:val="24"/>
          <w:szCs w:val="24"/>
        </w:rPr>
        <w:t xml:space="preserve">, 2019; </w:t>
      </w:r>
      <w:proofErr w:type="spellStart"/>
      <w:r w:rsidRPr="00780D2B">
        <w:rPr>
          <w:rFonts w:ascii="Arial" w:eastAsia="Arial" w:hAnsi="Arial" w:cs="Arial"/>
          <w:sz w:val="24"/>
          <w:szCs w:val="24"/>
        </w:rPr>
        <w:t>Skłodowska</w:t>
      </w:r>
      <w:proofErr w:type="spellEnd"/>
      <w:r w:rsidRPr="00780D2B">
        <w:rPr>
          <w:rFonts w:ascii="Arial" w:eastAsia="Arial" w:hAnsi="Arial" w:cs="Arial"/>
          <w:sz w:val="24"/>
          <w:szCs w:val="24"/>
        </w:rPr>
        <w:t xml:space="preserve"> </w:t>
      </w:r>
      <w:r w:rsidRPr="00780D2B">
        <w:rPr>
          <w:rFonts w:ascii="Arial" w:eastAsia="Arial" w:hAnsi="Arial" w:cs="Arial"/>
          <w:i/>
          <w:iCs/>
          <w:sz w:val="24"/>
          <w:szCs w:val="24"/>
        </w:rPr>
        <w:t>et al.</w:t>
      </w:r>
      <w:r w:rsidRPr="00780D2B">
        <w:rPr>
          <w:rFonts w:ascii="Arial" w:eastAsia="Arial" w:hAnsi="Arial" w:cs="Arial"/>
          <w:sz w:val="24"/>
          <w:szCs w:val="24"/>
        </w:rPr>
        <w:t>, 2023, 2025). A well-known example is the 1985 Michoacán earthquake, where anomalous amplification and damage patterns in Mexico City could only be explained by SCI phenomena (Wirgin and Bard, 1996).</w:t>
      </w:r>
    </w:p>
    <w:p w14:paraId="755FDA0C" w14:textId="77777777" w:rsidR="007D17B2" w:rsidRPr="00780D2B" w:rsidRDefault="00000000">
      <w:pPr>
        <w:spacing w:line="480" w:lineRule="auto"/>
        <w:jc w:val="both"/>
        <w:rPr>
          <w:rFonts w:ascii="Arial" w:eastAsia="Arial" w:hAnsi="Arial" w:cs="Arial"/>
          <w:sz w:val="24"/>
          <w:szCs w:val="24"/>
        </w:rPr>
      </w:pPr>
      <w:r w:rsidRPr="00780D2B">
        <w:rPr>
          <w:rFonts w:ascii="Arial" w:eastAsia="Arial" w:hAnsi="Arial" w:cs="Arial"/>
          <w:sz w:val="24"/>
          <w:szCs w:val="24"/>
        </w:rPr>
        <w:lastRenderedPageBreak/>
        <w:t xml:space="preserve">While seismic monitoring networks often include sensors installed either in buildings (e.g., </w:t>
      </w:r>
      <w:proofErr w:type="spellStart"/>
      <w:r w:rsidRPr="00780D2B">
        <w:rPr>
          <w:rFonts w:ascii="Arial" w:eastAsia="Arial" w:hAnsi="Arial" w:cs="Arial"/>
          <w:sz w:val="24"/>
          <w:szCs w:val="24"/>
        </w:rPr>
        <w:t>Snieder</w:t>
      </w:r>
      <w:proofErr w:type="spellEnd"/>
      <w:r w:rsidRPr="00780D2B">
        <w:rPr>
          <w:rFonts w:ascii="Arial" w:eastAsia="Arial" w:hAnsi="Arial" w:cs="Arial"/>
          <w:sz w:val="24"/>
          <w:szCs w:val="24"/>
        </w:rPr>
        <w:t xml:space="preserve"> and Şafak, 2006; Rahmani and </w:t>
      </w:r>
      <w:proofErr w:type="spellStart"/>
      <w:r w:rsidRPr="00780D2B">
        <w:rPr>
          <w:rFonts w:ascii="Arial" w:eastAsia="Arial" w:hAnsi="Arial" w:cs="Arial"/>
          <w:sz w:val="24"/>
          <w:szCs w:val="24"/>
        </w:rPr>
        <w:t>Todorovska</w:t>
      </w:r>
      <w:proofErr w:type="spellEnd"/>
      <w:r w:rsidRPr="00780D2B">
        <w:rPr>
          <w:rFonts w:ascii="Arial" w:eastAsia="Arial" w:hAnsi="Arial" w:cs="Arial"/>
          <w:sz w:val="24"/>
          <w:szCs w:val="24"/>
        </w:rPr>
        <w:t xml:space="preserve">, 2021) or in boreholes (e.g., Mehta </w:t>
      </w:r>
      <w:r w:rsidRPr="00780D2B">
        <w:rPr>
          <w:rFonts w:ascii="Arial" w:eastAsia="Arial" w:hAnsi="Arial" w:cs="Arial"/>
          <w:i/>
          <w:iCs/>
          <w:sz w:val="24"/>
          <w:szCs w:val="24"/>
        </w:rPr>
        <w:t>et al.</w:t>
      </w:r>
      <w:r w:rsidRPr="00780D2B">
        <w:rPr>
          <w:rFonts w:ascii="Arial" w:eastAsia="Arial" w:hAnsi="Arial" w:cs="Arial"/>
          <w:sz w:val="24"/>
          <w:szCs w:val="24"/>
        </w:rPr>
        <w:t xml:space="preserve">, 2007; </w:t>
      </w:r>
      <w:proofErr w:type="spellStart"/>
      <w:r w:rsidRPr="00780D2B">
        <w:rPr>
          <w:rFonts w:ascii="Arial" w:eastAsia="Arial" w:hAnsi="Arial" w:cs="Arial"/>
          <w:sz w:val="24"/>
          <w:szCs w:val="24"/>
        </w:rPr>
        <w:t>Parolai</w:t>
      </w:r>
      <w:proofErr w:type="spellEnd"/>
      <w:r w:rsidRPr="00780D2B">
        <w:rPr>
          <w:rFonts w:ascii="Arial" w:eastAsia="Arial" w:hAnsi="Arial" w:cs="Arial"/>
          <w:sz w:val="24"/>
          <w:szCs w:val="24"/>
        </w:rPr>
        <w:t xml:space="preserve"> </w:t>
      </w:r>
      <w:r w:rsidRPr="00780D2B">
        <w:rPr>
          <w:rFonts w:ascii="Arial" w:eastAsia="Arial" w:hAnsi="Arial" w:cs="Arial"/>
          <w:i/>
          <w:iCs/>
          <w:sz w:val="24"/>
          <w:szCs w:val="24"/>
        </w:rPr>
        <w:t>et al.</w:t>
      </w:r>
      <w:r w:rsidRPr="00780D2B">
        <w:rPr>
          <w:rFonts w:ascii="Arial" w:eastAsia="Arial" w:hAnsi="Arial" w:cs="Arial"/>
          <w:sz w:val="24"/>
          <w:szCs w:val="24"/>
        </w:rPr>
        <w:t xml:space="preserve">, 2009; Raub </w:t>
      </w:r>
      <w:r w:rsidRPr="00780D2B">
        <w:rPr>
          <w:rFonts w:ascii="Arial" w:eastAsia="Arial" w:hAnsi="Arial" w:cs="Arial"/>
          <w:i/>
          <w:iCs/>
          <w:sz w:val="24"/>
          <w:szCs w:val="24"/>
        </w:rPr>
        <w:t>et al.</w:t>
      </w:r>
      <w:r w:rsidRPr="00780D2B">
        <w:rPr>
          <w:rFonts w:ascii="Arial" w:eastAsia="Arial" w:hAnsi="Arial" w:cs="Arial"/>
          <w:sz w:val="24"/>
          <w:szCs w:val="24"/>
        </w:rPr>
        <w:t xml:space="preserve">, 2016), only a limited number of arrays combine both in a co-located configuration (e.g., Cardenas </w:t>
      </w:r>
      <w:r w:rsidRPr="00780D2B">
        <w:rPr>
          <w:rFonts w:ascii="Arial" w:eastAsia="Arial" w:hAnsi="Arial" w:cs="Arial"/>
          <w:i/>
          <w:iCs/>
          <w:sz w:val="24"/>
          <w:szCs w:val="24"/>
        </w:rPr>
        <w:t>et al.</w:t>
      </w:r>
      <w:r w:rsidRPr="00780D2B">
        <w:rPr>
          <w:rFonts w:ascii="Arial" w:eastAsia="Arial" w:hAnsi="Arial" w:cs="Arial"/>
          <w:sz w:val="24"/>
          <w:szCs w:val="24"/>
        </w:rPr>
        <w:t xml:space="preserve">, 2000; Wen and Kalkan, 2017; Petrovic </w:t>
      </w:r>
      <w:r w:rsidRPr="00780D2B">
        <w:rPr>
          <w:rFonts w:ascii="Arial" w:eastAsia="Arial" w:hAnsi="Arial" w:cs="Arial"/>
          <w:i/>
          <w:iCs/>
          <w:sz w:val="24"/>
          <w:szCs w:val="24"/>
        </w:rPr>
        <w:t>et al.</w:t>
      </w:r>
      <w:r w:rsidRPr="00780D2B">
        <w:rPr>
          <w:rFonts w:ascii="Arial" w:eastAsia="Arial" w:hAnsi="Arial" w:cs="Arial"/>
          <w:sz w:val="24"/>
          <w:szCs w:val="24"/>
        </w:rPr>
        <w:t xml:space="preserve">, 2018). Petrovic and </w:t>
      </w:r>
      <w:proofErr w:type="spellStart"/>
      <w:r w:rsidRPr="00780D2B">
        <w:rPr>
          <w:rFonts w:ascii="Arial" w:eastAsia="Arial" w:hAnsi="Arial" w:cs="Arial"/>
          <w:sz w:val="24"/>
          <w:szCs w:val="24"/>
        </w:rPr>
        <w:t>Parolai</w:t>
      </w:r>
      <w:proofErr w:type="spellEnd"/>
      <w:r w:rsidRPr="00780D2B">
        <w:rPr>
          <w:rFonts w:ascii="Arial" w:eastAsia="Arial" w:hAnsi="Arial" w:cs="Arial"/>
          <w:sz w:val="24"/>
          <w:szCs w:val="24"/>
        </w:rPr>
        <w:t xml:space="preserve"> (2016) and Petrovic </w:t>
      </w:r>
      <w:r w:rsidRPr="00780D2B">
        <w:rPr>
          <w:rFonts w:ascii="Arial" w:eastAsia="Arial" w:hAnsi="Arial" w:cs="Arial"/>
          <w:i/>
          <w:iCs/>
          <w:sz w:val="24"/>
          <w:szCs w:val="24"/>
        </w:rPr>
        <w:t>et al.</w:t>
      </w:r>
      <w:r w:rsidRPr="00780D2B">
        <w:rPr>
          <w:rFonts w:ascii="Arial" w:eastAsia="Arial" w:hAnsi="Arial" w:cs="Arial"/>
          <w:sz w:val="24"/>
          <w:szCs w:val="24"/>
        </w:rPr>
        <w:t xml:space="preserve"> (2018) demonstrated the potential of co-located building-borehole arrays for capturing SSI effects and wavefield modifications. Such hybrid arrays are essential for direct SSI analysis, but remain sparse and are rarely supported by open, long-duration datasets.</w:t>
      </w:r>
    </w:p>
    <w:p w14:paraId="793CE981" w14:textId="47AFFC68" w:rsidR="007D17B2" w:rsidRPr="00780D2B" w:rsidRDefault="00000000">
      <w:pPr>
        <w:spacing w:after="0" w:line="480" w:lineRule="auto"/>
        <w:jc w:val="both"/>
        <w:rPr>
          <w:rFonts w:ascii="Arial" w:eastAsia="Arial" w:hAnsi="Arial" w:cs="Arial"/>
          <w:sz w:val="24"/>
          <w:szCs w:val="24"/>
        </w:rPr>
      </w:pPr>
      <w:r w:rsidRPr="00780D2B">
        <w:rPr>
          <w:rFonts w:ascii="Arial" w:eastAsia="Arial" w:hAnsi="Arial" w:cs="Arial"/>
          <w:sz w:val="24"/>
          <w:szCs w:val="24"/>
        </w:rPr>
        <w:t xml:space="preserve">To address this gap, we present a new long-term seismic monitoring installation in Bologna, Northern Italy. The instrumented building, known as </w:t>
      </w:r>
      <w:r w:rsidRPr="00780D2B">
        <w:rPr>
          <w:rFonts w:ascii="Arial" w:eastAsia="Arial" w:hAnsi="Arial" w:cs="Arial"/>
          <w:i/>
          <w:iCs/>
          <w:sz w:val="24"/>
          <w:szCs w:val="24"/>
        </w:rPr>
        <w:t>Terza Torre</w:t>
      </w:r>
      <w:r w:rsidRPr="00780D2B">
        <w:rPr>
          <w:rFonts w:ascii="Arial" w:eastAsia="Arial" w:hAnsi="Arial" w:cs="Arial"/>
          <w:sz w:val="24"/>
          <w:szCs w:val="24"/>
        </w:rPr>
        <w:t xml:space="preserve"> (“Third Tower”), is a 20-story office building that hosts the</w:t>
      </w:r>
      <w:r w:rsidR="00DC3644" w:rsidRPr="00780D2B">
        <w:rPr>
          <w:rFonts w:ascii="Arial" w:eastAsia="Arial" w:hAnsi="Arial" w:cs="Arial"/>
          <w:sz w:val="24"/>
          <w:szCs w:val="24"/>
        </w:rPr>
        <w:t xml:space="preserve"> headquarters of the</w:t>
      </w:r>
      <w:r w:rsidRPr="00780D2B">
        <w:rPr>
          <w:rFonts w:ascii="Arial" w:eastAsia="Arial" w:hAnsi="Arial" w:cs="Arial"/>
          <w:sz w:val="24"/>
          <w:szCs w:val="24"/>
        </w:rPr>
        <w:t xml:space="preserve"> regional government. The monitoring project was developed through a collaborative agreement between the National Institute of Oceanography and Applied Geophysics - OGS and the General Directorate for Environment and Territory of the Emilia-Romagna Regional Government.</w:t>
      </w:r>
    </w:p>
    <w:p w14:paraId="30D6F07A" w14:textId="7D1DD242" w:rsidR="007D17B2" w:rsidRPr="00780D2B" w:rsidRDefault="00000000">
      <w:pPr>
        <w:spacing w:line="480" w:lineRule="auto"/>
        <w:jc w:val="both"/>
        <w:rPr>
          <w:rFonts w:ascii="Arial" w:eastAsia="Arial" w:hAnsi="Arial" w:cs="Arial"/>
          <w:sz w:val="24"/>
          <w:szCs w:val="24"/>
        </w:rPr>
      </w:pPr>
      <w:r w:rsidRPr="00780D2B">
        <w:rPr>
          <w:rFonts w:ascii="Arial" w:eastAsia="Arial" w:hAnsi="Arial" w:cs="Arial"/>
          <w:sz w:val="24"/>
          <w:szCs w:val="24"/>
        </w:rPr>
        <w:t xml:space="preserve">Although the building is not statistically representative of the regional building stock, it is considered a strategic facility for emergency management and governance. Its structural complexity and </w:t>
      </w:r>
      <w:r w:rsidR="00DC3644" w:rsidRPr="00780D2B">
        <w:rPr>
          <w:rFonts w:ascii="Arial" w:eastAsia="Arial" w:hAnsi="Arial" w:cs="Arial"/>
          <w:sz w:val="24"/>
          <w:szCs w:val="24"/>
        </w:rPr>
        <w:t xml:space="preserve">strategic importance </w:t>
      </w:r>
      <w:r w:rsidRPr="00780D2B">
        <w:rPr>
          <w:rFonts w:ascii="Arial" w:eastAsia="Arial" w:hAnsi="Arial" w:cs="Arial"/>
          <w:sz w:val="24"/>
          <w:szCs w:val="24"/>
        </w:rPr>
        <w:t>for civil protection purposes make it an ideal benchmark for</w:t>
      </w:r>
      <w:r w:rsidR="00DC3644" w:rsidRPr="00780D2B">
        <w:rPr>
          <w:rFonts w:ascii="Arial" w:eastAsia="Arial" w:hAnsi="Arial" w:cs="Arial"/>
          <w:sz w:val="24"/>
          <w:szCs w:val="24"/>
        </w:rPr>
        <w:t xml:space="preserve"> a wide range of studies, spanning from the seismic characterization of the building and underlying soil to the investigation of wave propagation within the building-soil system, subsequently providing a basis for investigating</w:t>
      </w:r>
      <w:r w:rsidRPr="00780D2B">
        <w:rPr>
          <w:rFonts w:ascii="Arial" w:eastAsia="Arial" w:hAnsi="Arial" w:cs="Arial"/>
          <w:sz w:val="24"/>
          <w:szCs w:val="24"/>
        </w:rPr>
        <w:t xml:space="preserve"> SSI</w:t>
      </w:r>
      <w:r w:rsidR="00DC3644" w:rsidRPr="00780D2B">
        <w:rPr>
          <w:rFonts w:ascii="Arial" w:eastAsia="Arial" w:hAnsi="Arial" w:cs="Arial"/>
          <w:sz w:val="24"/>
          <w:szCs w:val="24"/>
        </w:rPr>
        <w:t xml:space="preserve"> effects</w:t>
      </w:r>
      <w:r w:rsidRPr="00780D2B">
        <w:rPr>
          <w:rFonts w:ascii="Arial" w:eastAsia="Arial" w:hAnsi="Arial" w:cs="Arial"/>
          <w:sz w:val="24"/>
          <w:szCs w:val="24"/>
        </w:rPr>
        <w:t xml:space="preserve"> under realistic conditions.</w:t>
      </w:r>
    </w:p>
    <w:p w14:paraId="40D4407A" w14:textId="77777777" w:rsidR="007D17B2" w:rsidRPr="00780D2B" w:rsidRDefault="00000000">
      <w:pPr>
        <w:spacing w:after="0" w:line="480" w:lineRule="auto"/>
        <w:jc w:val="both"/>
        <w:rPr>
          <w:rFonts w:ascii="Arial" w:eastAsia="Arial" w:hAnsi="Arial" w:cs="Arial"/>
          <w:sz w:val="24"/>
          <w:szCs w:val="24"/>
        </w:rPr>
      </w:pPr>
      <w:r w:rsidRPr="00780D2B">
        <w:rPr>
          <w:rFonts w:ascii="Arial" w:eastAsia="Arial" w:hAnsi="Arial" w:cs="Arial"/>
          <w:sz w:val="24"/>
          <w:szCs w:val="24"/>
        </w:rPr>
        <w:lastRenderedPageBreak/>
        <w:t>The building is located within the Po Plain, a tectonically active foreland basin bounded by the Southern Alps to the north and the Northern Apennines to the south. The region experiences crustal shortening due to the convergence between the Adria microplate and the Eurasian plate, accommodated by a system of blind thrust faults at shallow to intermediate depths (</w:t>
      </w:r>
      <w:proofErr w:type="spellStart"/>
      <w:r w:rsidRPr="00780D2B">
        <w:rPr>
          <w:rFonts w:ascii="Arial" w:eastAsia="Arial" w:hAnsi="Arial" w:cs="Arial"/>
          <w:sz w:val="24"/>
          <w:szCs w:val="24"/>
        </w:rPr>
        <w:t>Vannoli</w:t>
      </w:r>
      <w:proofErr w:type="spellEnd"/>
      <w:r w:rsidRPr="00780D2B">
        <w:rPr>
          <w:rFonts w:ascii="Arial" w:eastAsia="Arial" w:hAnsi="Arial" w:cs="Arial"/>
          <w:sz w:val="24"/>
          <w:szCs w:val="24"/>
        </w:rPr>
        <w:t xml:space="preserve"> </w:t>
      </w:r>
      <w:r w:rsidRPr="00780D2B">
        <w:rPr>
          <w:rFonts w:ascii="Arial" w:eastAsia="Arial" w:hAnsi="Arial" w:cs="Arial"/>
          <w:i/>
          <w:iCs/>
          <w:sz w:val="24"/>
          <w:szCs w:val="24"/>
        </w:rPr>
        <w:t>et al.</w:t>
      </w:r>
      <w:r w:rsidRPr="00780D2B">
        <w:rPr>
          <w:rFonts w:ascii="Arial" w:eastAsia="Arial" w:hAnsi="Arial" w:cs="Arial"/>
          <w:sz w:val="24"/>
          <w:szCs w:val="24"/>
        </w:rPr>
        <w:t>, 2015). Although characterized by moderate seismicity, the Po Plain has experienced damaging earthquakes, such as the 2012 Emilia sequence (main shock ML 5.9; ISIDe Working Group, 2007), which caused widespread damage to buildings and infrastructure (</w:t>
      </w:r>
      <w:proofErr w:type="spellStart"/>
      <w:r w:rsidRPr="00780D2B">
        <w:rPr>
          <w:rFonts w:ascii="Arial" w:eastAsia="Arial" w:hAnsi="Arial" w:cs="Arial"/>
          <w:sz w:val="24"/>
          <w:szCs w:val="24"/>
        </w:rPr>
        <w:t>Rovida</w:t>
      </w:r>
      <w:proofErr w:type="spellEnd"/>
      <w:r w:rsidRPr="00780D2B">
        <w:rPr>
          <w:rFonts w:ascii="Arial" w:eastAsia="Arial" w:hAnsi="Arial" w:cs="Arial"/>
          <w:sz w:val="24"/>
          <w:szCs w:val="24"/>
        </w:rPr>
        <w:t xml:space="preserve"> </w:t>
      </w:r>
      <w:r w:rsidRPr="00780D2B">
        <w:rPr>
          <w:rFonts w:ascii="Arial" w:eastAsia="Arial" w:hAnsi="Arial" w:cs="Arial"/>
          <w:i/>
          <w:iCs/>
          <w:sz w:val="24"/>
          <w:szCs w:val="24"/>
        </w:rPr>
        <w:t>et al.</w:t>
      </w:r>
      <w:r w:rsidRPr="00780D2B">
        <w:rPr>
          <w:rFonts w:ascii="Arial" w:eastAsia="Arial" w:hAnsi="Arial" w:cs="Arial"/>
          <w:sz w:val="24"/>
          <w:szCs w:val="24"/>
        </w:rPr>
        <w:t>, 2020, 2022).</w:t>
      </w:r>
    </w:p>
    <w:p w14:paraId="29BA5F17" w14:textId="77777777" w:rsidR="007D17B2" w:rsidRPr="00780D2B" w:rsidRDefault="00000000">
      <w:pPr>
        <w:spacing w:after="0" w:line="480" w:lineRule="auto"/>
        <w:jc w:val="both"/>
        <w:rPr>
          <w:rFonts w:ascii="Arial" w:eastAsia="Arial" w:hAnsi="Arial" w:cs="Arial"/>
          <w:sz w:val="24"/>
          <w:szCs w:val="24"/>
        </w:rPr>
      </w:pPr>
      <w:r w:rsidRPr="00780D2B">
        <w:rPr>
          <w:rFonts w:ascii="Arial" w:eastAsia="Arial" w:hAnsi="Arial" w:cs="Arial"/>
          <w:sz w:val="24"/>
          <w:szCs w:val="24"/>
        </w:rPr>
        <w:t xml:space="preserve">The area is also prone to significant site amplification effects due to the presence of thick Quaternary alluvial deposits with low shear-wave velocities (Molinari </w:t>
      </w:r>
      <w:r w:rsidRPr="00780D2B">
        <w:rPr>
          <w:rFonts w:ascii="Arial" w:eastAsia="Arial" w:hAnsi="Arial" w:cs="Arial"/>
          <w:i/>
          <w:iCs/>
          <w:sz w:val="24"/>
          <w:szCs w:val="24"/>
        </w:rPr>
        <w:t>et al.</w:t>
      </w:r>
      <w:r w:rsidRPr="00780D2B">
        <w:rPr>
          <w:rFonts w:ascii="Arial" w:eastAsia="Arial" w:hAnsi="Arial" w:cs="Arial"/>
          <w:sz w:val="24"/>
          <w:szCs w:val="24"/>
        </w:rPr>
        <w:t>, 2015). Several studies have demonstrated that post-critically reflected S-waves and multiples from the Moho discontinuity can enhance ground motion in the Po Plain at distances between 80 and 200 km (Braga</w:t>
      </w:r>
      <w:hyperlink r:id="rId12">
        <w:r w:rsidR="007D17B2" w:rsidRPr="00780D2B">
          <w:rPr>
            <w:rFonts w:ascii="Arial" w:eastAsia="Arial" w:hAnsi="Arial" w:cs="Arial"/>
            <w:sz w:val="24"/>
            <w:szCs w:val="24"/>
          </w:rPr>
          <w:t xml:space="preserve">to </w:t>
        </w:r>
      </w:hyperlink>
      <w:r w:rsidRPr="00780D2B">
        <w:rPr>
          <w:rFonts w:ascii="Arial" w:eastAsia="Arial" w:hAnsi="Arial" w:cs="Arial"/>
          <w:i/>
          <w:iCs/>
          <w:sz w:val="24"/>
          <w:szCs w:val="24"/>
        </w:rPr>
        <w:t>et al.</w:t>
      </w:r>
      <w:r w:rsidRPr="00780D2B">
        <w:rPr>
          <w:rFonts w:ascii="Arial" w:eastAsia="Arial" w:hAnsi="Arial" w:cs="Arial"/>
          <w:sz w:val="24"/>
          <w:szCs w:val="24"/>
        </w:rPr>
        <w:t>, 2011; Sugan and Vuan, 2014). These effects contribute to the complexity of seismic hazard assessments in the region.</w:t>
      </w:r>
    </w:p>
    <w:p w14:paraId="6DDEB5DE" w14:textId="77777777" w:rsidR="007D17B2" w:rsidRPr="00780D2B" w:rsidRDefault="00000000">
      <w:pPr>
        <w:spacing w:after="0" w:line="480" w:lineRule="auto"/>
        <w:jc w:val="both"/>
        <w:rPr>
          <w:rFonts w:ascii="Arial" w:eastAsia="Arial" w:hAnsi="Arial" w:cs="Arial"/>
          <w:sz w:val="24"/>
          <w:szCs w:val="24"/>
        </w:rPr>
      </w:pPr>
      <w:r w:rsidRPr="00780D2B">
        <w:rPr>
          <w:rFonts w:ascii="Arial" w:eastAsia="Arial" w:hAnsi="Arial" w:cs="Arial"/>
          <w:sz w:val="24"/>
          <w:szCs w:val="24"/>
        </w:rPr>
        <w:t>Recent investigations using ambient vibration measurements have mapped the depth of the seismic bedrock across the Po Plain, revealing high spatial variability linked to the complex sedimentary and tectonic evolution of the basin (</w:t>
      </w:r>
      <w:proofErr w:type="spellStart"/>
      <w:r w:rsidRPr="00780D2B">
        <w:rPr>
          <w:rFonts w:ascii="Arial" w:eastAsia="Arial" w:hAnsi="Arial" w:cs="Arial"/>
          <w:sz w:val="24"/>
          <w:szCs w:val="24"/>
        </w:rPr>
        <w:t>Mascandola</w:t>
      </w:r>
      <w:proofErr w:type="spellEnd"/>
      <w:r w:rsidRPr="00780D2B">
        <w:rPr>
          <w:rFonts w:ascii="Arial" w:eastAsia="Arial" w:hAnsi="Arial" w:cs="Arial"/>
          <w:sz w:val="24"/>
          <w:szCs w:val="24"/>
        </w:rPr>
        <w:t xml:space="preserve"> </w:t>
      </w:r>
      <w:r w:rsidRPr="00780D2B">
        <w:rPr>
          <w:rFonts w:ascii="Arial" w:eastAsia="Arial" w:hAnsi="Arial" w:cs="Arial"/>
          <w:i/>
          <w:iCs/>
          <w:sz w:val="24"/>
          <w:szCs w:val="24"/>
        </w:rPr>
        <w:t>et al.</w:t>
      </w:r>
      <w:r w:rsidRPr="00780D2B">
        <w:rPr>
          <w:rFonts w:ascii="Arial" w:eastAsia="Arial" w:hAnsi="Arial" w:cs="Arial"/>
          <w:sz w:val="24"/>
          <w:szCs w:val="24"/>
        </w:rPr>
        <w:t>, 2019). These characteristics underline the need for site-specific monitoring to support seismic risk assessments and ground motion modeling in the area.</w:t>
      </w:r>
    </w:p>
    <w:p w14:paraId="13F3EE8D" w14:textId="77777777" w:rsidR="007D17B2" w:rsidRPr="00780D2B" w:rsidRDefault="00000000">
      <w:pPr>
        <w:spacing w:before="240" w:after="140" w:line="480" w:lineRule="auto"/>
        <w:jc w:val="both"/>
        <w:rPr>
          <w:rFonts w:ascii="Arial" w:eastAsia="Arial" w:hAnsi="Arial" w:cs="Arial"/>
          <w:sz w:val="24"/>
          <w:szCs w:val="24"/>
        </w:rPr>
      </w:pPr>
      <w:r w:rsidRPr="00780D2B">
        <w:rPr>
          <w:rFonts w:ascii="Arial" w:eastAsia="Arial" w:hAnsi="Arial" w:cs="Arial"/>
          <w:sz w:val="24"/>
          <w:szCs w:val="24"/>
        </w:rPr>
        <w:t xml:space="preserve">The monitoring system (Figure 1) consists of eight coupled velocimeter-accelerometer stations deployed in a 20-story reinforced concrete building, with six sensors forming a vertical array on the eastern façade. An additional borehole station, equipped with a </w:t>
      </w:r>
      <w:r w:rsidRPr="00780D2B">
        <w:rPr>
          <w:rFonts w:ascii="Arial" w:eastAsia="Arial" w:hAnsi="Arial" w:cs="Arial"/>
          <w:sz w:val="24"/>
          <w:szCs w:val="24"/>
        </w:rPr>
        <w:lastRenderedPageBreak/>
        <w:t>downhole sensor at 50 m and a surface sensor, was installed 20 m from the building. This configuration enables joint analysis of structural and soil response.</w:t>
      </w:r>
    </w:p>
    <w:p w14:paraId="10135617" w14:textId="1468C342" w:rsidR="007D17B2" w:rsidRPr="00780D2B" w:rsidRDefault="00000000" w:rsidP="0055550F">
      <w:pPr>
        <w:spacing w:line="480" w:lineRule="auto"/>
        <w:jc w:val="both"/>
        <w:rPr>
          <w:rFonts w:ascii="Arial" w:eastAsia="Arial" w:hAnsi="Arial" w:cs="Arial"/>
          <w:sz w:val="24"/>
          <w:szCs w:val="24"/>
        </w:rPr>
      </w:pPr>
      <w:r w:rsidRPr="00780D2B">
        <w:rPr>
          <w:rFonts w:ascii="Arial" w:eastAsia="Arial" w:hAnsi="Arial" w:cs="Arial"/>
          <w:sz w:val="24"/>
          <w:szCs w:val="24"/>
        </w:rPr>
        <w:t>The installation was performed between March and September 2023 and has been operating continuously since then, with an overall data completeness exceeding 90% for most stations. The system acquires ambient vibrations and seismic waveforms from local and regional earthquakes, which are continuously recorded and transmitted in near real time to the Seismological Research Center (CRS) of the OGS via dedicated broadband connections. At the data center, seismic streams are archived, monitored, and systematically analyzed. Waveform segments corresponding to earthquakes are periodically extracted from the continuous recordings and archived for long term storage and distribution. As of July 2025, the dataset includes 30 earthquake recordings (ML 3.0 – 4.8) and a continuous archive of ambient vibration data, enabling a wide range of scientific investigations. These data support the evaluation of cost-effective instrumentation for long-term structural monitoring</w:t>
      </w:r>
      <w:r w:rsidR="00BB5034" w:rsidRPr="00780D2B">
        <w:rPr>
          <w:rFonts w:ascii="Arial" w:eastAsia="Arial" w:hAnsi="Arial" w:cs="Arial"/>
          <w:sz w:val="24"/>
          <w:szCs w:val="24"/>
        </w:rPr>
        <w:t xml:space="preserve"> </w:t>
      </w:r>
      <w:r w:rsidR="00DF1C23" w:rsidRPr="00780D2B">
        <w:rPr>
          <w:rFonts w:ascii="Arial" w:eastAsia="Arial" w:hAnsi="Arial" w:cs="Arial"/>
          <w:sz w:val="24"/>
          <w:szCs w:val="24"/>
        </w:rPr>
        <w:t>and</w:t>
      </w:r>
      <w:r w:rsidRPr="00780D2B">
        <w:rPr>
          <w:rFonts w:ascii="Arial" w:eastAsia="Arial" w:hAnsi="Arial" w:cs="Arial"/>
          <w:sz w:val="24"/>
          <w:szCs w:val="24"/>
        </w:rPr>
        <w:t xml:space="preserve"> the study of the seismic response of a strategic urban infrastructure.</w:t>
      </w:r>
      <w:r w:rsidR="00DF1C23" w:rsidRPr="00780D2B">
        <w:rPr>
          <w:rFonts w:ascii="Arial" w:eastAsia="Arial" w:hAnsi="Arial" w:cs="Arial"/>
          <w:sz w:val="24"/>
          <w:szCs w:val="24"/>
        </w:rPr>
        <w:t xml:space="preserve"> As the </w:t>
      </w:r>
      <w:r w:rsidR="00DC3644" w:rsidRPr="00780D2B">
        <w:rPr>
          <w:rFonts w:ascii="Arial" w:eastAsia="Arial" w:hAnsi="Arial" w:cs="Arial"/>
          <w:sz w:val="24"/>
          <w:szCs w:val="24"/>
        </w:rPr>
        <w:t xml:space="preserve"> monitoring </w:t>
      </w:r>
      <w:r w:rsidR="00DF1C23" w:rsidRPr="00780D2B">
        <w:rPr>
          <w:rFonts w:ascii="Arial" w:eastAsia="Arial" w:hAnsi="Arial" w:cs="Arial"/>
          <w:sz w:val="24"/>
          <w:szCs w:val="24"/>
        </w:rPr>
        <w:t xml:space="preserve">infrastructure is a long-term project, the dataset will </w:t>
      </w:r>
      <w:r w:rsidR="00DC3644" w:rsidRPr="00780D2B">
        <w:rPr>
          <w:rFonts w:ascii="Arial" w:eastAsia="Arial" w:hAnsi="Arial" w:cs="Arial"/>
          <w:sz w:val="24"/>
          <w:szCs w:val="24"/>
        </w:rPr>
        <w:t>continue to grow over time with additional events, potentially including recordings of stronger ground shaking. Future recordings of stronger seismic events would enable</w:t>
      </w:r>
      <w:r w:rsidR="00DF1C23" w:rsidRPr="00780D2B">
        <w:rPr>
          <w:rFonts w:ascii="Arial" w:eastAsia="Arial" w:hAnsi="Arial" w:cs="Arial"/>
          <w:sz w:val="24"/>
          <w:szCs w:val="24"/>
        </w:rPr>
        <w:t xml:space="preserve"> </w:t>
      </w:r>
      <w:r w:rsidR="00266E6C" w:rsidRPr="00780D2B">
        <w:rPr>
          <w:rFonts w:ascii="Arial" w:eastAsia="Arial" w:hAnsi="Arial" w:cs="Arial"/>
          <w:sz w:val="24"/>
          <w:szCs w:val="24"/>
        </w:rPr>
        <w:t xml:space="preserve">investigations of wave propagation within soil-structure systems and </w:t>
      </w:r>
      <w:r w:rsidR="003B6D1C" w:rsidRPr="00780D2B">
        <w:rPr>
          <w:rFonts w:ascii="Arial" w:eastAsia="Arial" w:hAnsi="Arial" w:cs="Arial"/>
          <w:sz w:val="24"/>
          <w:szCs w:val="24"/>
        </w:rPr>
        <w:t>would support future</w:t>
      </w:r>
      <w:r w:rsidR="00266E6C" w:rsidRPr="00780D2B">
        <w:rPr>
          <w:rFonts w:ascii="Arial" w:eastAsia="Arial" w:hAnsi="Arial" w:cs="Arial"/>
          <w:sz w:val="24"/>
          <w:szCs w:val="24"/>
        </w:rPr>
        <w:t xml:space="preserve"> validation and calibration of SSI </w:t>
      </w:r>
      <w:r w:rsidR="003B6D1C" w:rsidRPr="00780D2B">
        <w:rPr>
          <w:rFonts w:ascii="Arial" w:eastAsia="Arial" w:hAnsi="Arial" w:cs="Arial"/>
          <w:sz w:val="24"/>
          <w:szCs w:val="24"/>
        </w:rPr>
        <w:t>models</w:t>
      </w:r>
      <w:r w:rsidR="00DF1C23" w:rsidRPr="00780D2B">
        <w:rPr>
          <w:rFonts w:ascii="Arial" w:eastAsia="Arial" w:hAnsi="Arial" w:cs="Arial"/>
          <w:sz w:val="24"/>
          <w:szCs w:val="24"/>
        </w:rPr>
        <w:t>.</w:t>
      </w:r>
      <w:r w:rsidRPr="00780D2B">
        <w:rPr>
          <w:rFonts w:ascii="Arial" w:eastAsia="Arial" w:hAnsi="Arial" w:cs="Arial"/>
          <w:sz w:val="24"/>
          <w:szCs w:val="24"/>
        </w:rPr>
        <w:t xml:space="preserve"> Long-term open access is planned to facilitate collaborative scientific use.</w:t>
      </w:r>
    </w:p>
    <w:p w14:paraId="50DA730A" w14:textId="77777777" w:rsidR="007D17B2" w:rsidRPr="00780D2B" w:rsidRDefault="00000000">
      <w:pPr>
        <w:pStyle w:val="Titolo1"/>
        <w:spacing w:line="480" w:lineRule="auto"/>
        <w:rPr>
          <w:rFonts w:ascii="Arial" w:eastAsia="Arial" w:hAnsi="Arial" w:cs="Arial"/>
        </w:rPr>
      </w:pPr>
      <w:bookmarkStart w:id="8" w:name="_heading=h.lcvy1spdbti9" w:colFirst="0" w:colLast="0"/>
      <w:bookmarkEnd w:id="8"/>
      <w:r w:rsidRPr="00780D2B">
        <w:rPr>
          <w:rFonts w:ascii="Arial" w:eastAsia="Arial" w:hAnsi="Arial" w:cs="Arial"/>
        </w:rPr>
        <w:lastRenderedPageBreak/>
        <w:t>Instrument Deployment and Details</w:t>
      </w:r>
    </w:p>
    <w:p w14:paraId="677C39CC" w14:textId="77777777" w:rsidR="007D17B2" w:rsidRPr="00780D2B" w:rsidRDefault="00000000">
      <w:pPr>
        <w:pStyle w:val="Titolo2"/>
        <w:spacing w:line="480" w:lineRule="auto"/>
        <w:rPr>
          <w:rFonts w:ascii="Arial" w:eastAsia="Arial" w:hAnsi="Arial" w:cs="Arial"/>
          <w:i/>
          <w:iCs/>
        </w:rPr>
      </w:pPr>
      <w:bookmarkStart w:id="9" w:name="_heading=h.9wyulrqueayl" w:colFirst="0" w:colLast="0"/>
      <w:bookmarkEnd w:id="9"/>
      <w:r w:rsidRPr="00780D2B">
        <w:rPr>
          <w:rFonts w:ascii="Arial" w:eastAsia="Arial" w:hAnsi="Arial" w:cs="Arial"/>
          <w:i/>
          <w:iCs/>
        </w:rPr>
        <w:tab/>
        <w:t>Building Description</w:t>
      </w:r>
    </w:p>
    <w:p w14:paraId="23C227EB" w14:textId="77777777" w:rsidR="007D17B2" w:rsidRPr="00780D2B" w:rsidRDefault="00000000">
      <w:pPr>
        <w:spacing w:line="480" w:lineRule="auto"/>
        <w:jc w:val="both"/>
        <w:rPr>
          <w:rFonts w:ascii="Arial" w:eastAsia="Arial" w:hAnsi="Arial" w:cs="Arial"/>
          <w:sz w:val="24"/>
          <w:szCs w:val="24"/>
        </w:rPr>
      </w:pPr>
      <w:r w:rsidRPr="00780D2B">
        <w:rPr>
          <w:rFonts w:ascii="Arial" w:eastAsia="Arial" w:hAnsi="Arial" w:cs="Arial"/>
          <w:sz w:val="24"/>
          <w:szCs w:val="24"/>
        </w:rPr>
        <w:t>The target building is the so-called Terza Torre, designed in 1999 to house the regional government’s administrative offices. It is located in the heterogeneous urban setting of the Fiera district in Bologna. The surrounding area includes other high-rise buildings of similar structural characteristics, as well as densely populated residential areas. The building was selected based on (</w:t>
      </w:r>
      <w:proofErr w:type="spellStart"/>
      <w:r w:rsidRPr="00780D2B">
        <w:rPr>
          <w:rFonts w:ascii="Arial" w:eastAsia="Arial" w:hAnsi="Arial" w:cs="Arial"/>
          <w:sz w:val="24"/>
          <w:szCs w:val="24"/>
        </w:rPr>
        <w:t>i</w:t>
      </w:r>
      <w:proofErr w:type="spellEnd"/>
      <w:r w:rsidRPr="00780D2B">
        <w:rPr>
          <w:rFonts w:ascii="Arial" w:eastAsia="Arial" w:hAnsi="Arial" w:cs="Arial"/>
          <w:sz w:val="24"/>
          <w:szCs w:val="24"/>
        </w:rPr>
        <w:t>) the availability of detailed structural and geotechnical documentation, including design reports and previous dynamic analyses; (ii) its logistical suitability for continuous monitoring, with secure access, power supply, and data connectivity; and (iii) its location within a complex of buildings with similar construction typologies, enabling future investigations of SCI effects.</w:t>
      </w:r>
    </w:p>
    <w:p w14:paraId="6A822FEB" w14:textId="77777777" w:rsidR="007D17B2" w:rsidRPr="00780D2B" w:rsidRDefault="00000000">
      <w:pPr>
        <w:spacing w:line="480" w:lineRule="auto"/>
        <w:jc w:val="both"/>
        <w:rPr>
          <w:rFonts w:ascii="Arial" w:eastAsia="Arial" w:hAnsi="Arial" w:cs="Arial"/>
          <w:sz w:val="24"/>
          <w:szCs w:val="24"/>
        </w:rPr>
      </w:pPr>
      <w:r w:rsidRPr="00780D2B">
        <w:rPr>
          <w:rFonts w:ascii="Arial" w:eastAsia="Arial" w:hAnsi="Arial" w:cs="Arial"/>
          <w:sz w:val="24"/>
          <w:szCs w:val="24"/>
        </w:rPr>
        <w:t xml:space="preserve">The 20 story reinforced concrete building consists of three interconnected units - referred to as towers A, B, and C (87, 29 and 18 m height, respectively; see Figure 2) - which are linked via reinforced concrete decks supported by beams and pillars. Structural joints with viscoelastic couplers are included between the main tower (A) and the two lateral wings (B and C) to accommodate differential movements and dissipate energy during seismic shaking. The structural system is composed of moment-resisting reinforced concrete frames with infill panels, forming a semi-regular floor plan. Tower A is the tallest unit, with a height of 87 meters above ground level, comprising 20 stories above ground and two underground levels. An additional technical compartment is located on the tower rooftop. Towers B and C are significantly lower, with four and three above-ground floors respectively and two basement levels. Considering both the expected dynamic </w:t>
      </w:r>
      <w:r w:rsidRPr="00780D2B">
        <w:rPr>
          <w:rFonts w:ascii="Arial" w:eastAsia="Arial" w:hAnsi="Arial" w:cs="Arial"/>
          <w:sz w:val="24"/>
          <w:szCs w:val="24"/>
        </w:rPr>
        <w:lastRenderedPageBreak/>
        <w:t xml:space="preserve">contribution as a function of mass and height, and the limited number of sensors, the lower unit (tower C) was not instrumented. </w:t>
      </w:r>
    </w:p>
    <w:p w14:paraId="1F754A80" w14:textId="034547F7" w:rsidR="007D17B2" w:rsidRPr="00780D2B" w:rsidRDefault="00000000">
      <w:pPr>
        <w:spacing w:line="480" w:lineRule="auto"/>
        <w:jc w:val="both"/>
        <w:rPr>
          <w:rFonts w:ascii="Arial" w:eastAsia="Arial" w:hAnsi="Arial" w:cs="Arial"/>
          <w:sz w:val="24"/>
          <w:szCs w:val="24"/>
        </w:rPr>
      </w:pPr>
      <w:r w:rsidRPr="00780D2B">
        <w:rPr>
          <w:rFonts w:ascii="Arial" w:eastAsia="Arial" w:hAnsi="Arial" w:cs="Arial"/>
          <w:sz w:val="24"/>
          <w:szCs w:val="24"/>
        </w:rPr>
        <w:t xml:space="preserve">The ground floor of both towers A and B is almost twice the height of the other floors, and is divided into two sub-floors where the towers are joined. The foundation system consists of shallow footings resting on thick Quaternary alluvial sediments which are characterized by low shear-wave velocities (Molinari </w:t>
      </w:r>
      <w:r w:rsidRPr="00780D2B">
        <w:rPr>
          <w:rFonts w:ascii="Arial" w:eastAsia="Arial" w:hAnsi="Arial" w:cs="Arial"/>
          <w:i/>
          <w:iCs/>
          <w:sz w:val="24"/>
          <w:szCs w:val="24"/>
        </w:rPr>
        <w:t>et al.</w:t>
      </w:r>
      <w:r w:rsidRPr="00780D2B">
        <w:rPr>
          <w:rFonts w:ascii="Arial" w:eastAsia="Arial" w:hAnsi="Arial" w:cs="Arial"/>
          <w:sz w:val="24"/>
          <w:szCs w:val="24"/>
        </w:rPr>
        <w:t>, 2015).</w:t>
      </w:r>
      <w:r w:rsidR="00AF5741" w:rsidRPr="00780D2B">
        <w:rPr>
          <w:rFonts w:ascii="Arial" w:eastAsia="Arial" w:hAnsi="Arial" w:cs="Arial"/>
          <w:sz w:val="24"/>
          <w:szCs w:val="24"/>
        </w:rPr>
        <w:t xml:space="preserve"> The seismic refraction analyses carried out during the building construction</w:t>
      </w:r>
      <w:r w:rsidR="00F863BF" w:rsidRPr="00780D2B">
        <w:rPr>
          <w:rFonts w:ascii="Arial" w:eastAsia="Arial" w:hAnsi="Arial" w:cs="Arial"/>
          <w:sz w:val="24"/>
          <w:szCs w:val="24"/>
        </w:rPr>
        <w:t xml:space="preserve"> (</w:t>
      </w:r>
      <w:proofErr w:type="spellStart"/>
      <w:r w:rsidR="00F863BF" w:rsidRPr="00780D2B">
        <w:rPr>
          <w:rFonts w:ascii="Arial" w:eastAsia="Arial" w:hAnsi="Arial" w:cs="Arial"/>
          <w:sz w:val="24"/>
          <w:szCs w:val="24"/>
        </w:rPr>
        <w:t>Regione</w:t>
      </w:r>
      <w:proofErr w:type="spellEnd"/>
      <w:r w:rsidR="00F863BF" w:rsidRPr="00780D2B">
        <w:rPr>
          <w:rFonts w:ascii="Arial" w:eastAsia="Arial" w:hAnsi="Arial" w:cs="Arial"/>
          <w:sz w:val="24"/>
          <w:szCs w:val="24"/>
        </w:rPr>
        <w:t xml:space="preserve"> Emilia</w:t>
      </w:r>
      <w:r w:rsidR="0019588C" w:rsidRPr="00780D2B">
        <w:rPr>
          <w:rFonts w:ascii="Arial" w:eastAsia="Arial" w:hAnsi="Arial" w:cs="Arial"/>
          <w:sz w:val="24"/>
          <w:szCs w:val="24"/>
        </w:rPr>
        <w:t>-</w:t>
      </w:r>
      <w:r w:rsidR="00F863BF" w:rsidRPr="00780D2B">
        <w:rPr>
          <w:rFonts w:ascii="Arial" w:eastAsia="Arial" w:hAnsi="Arial" w:cs="Arial"/>
          <w:sz w:val="24"/>
          <w:szCs w:val="24"/>
        </w:rPr>
        <w:t>Romagna, 1999)</w:t>
      </w:r>
      <w:r w:rsidR="00AF5741" w:rsidRPr="00780D2B">
        <w:rPr>
          <w:rFonts w:ascii="Arial" w:eastAsia="Arial" w:hAnsi="Arial" w:cs="Arial"/>
          <w:sz w:val="24"/>
          <w:szCs w:val="24"/>
        </w:rPr>
        <w:t xml:space="preserve"> identified three subsoil layers: a shallow layer (depth up to 4</w:t>
      </w:r>
      <w:r w:rsidR="00266E6C" w:rsidRPr="00780D2B">
        <w:rPr>
          <w:rFonts w:ascii="Arial" w:eastAsia="Arial" w:hAnsi="Arial" w:cs="Arial"/>
          <w:sz w:val="24"/>
          <w:szCs w:val="24"/>
        </w:rPr>
        <w:t>-</w:t>
      </w:r>
      <w:r w:rsidR="00AF5741" w:rsidRPr="00780D2B">
        <w:rPr>
          <w:rFonts w:ascii="Arial" w:eastAsia="Arial" w:hAnsi="Arial" w:cs="Arial"/>
          <w:sz w:val="24"/>
          <w:szCs w:val="24"/>
        </w:rPr>
        <w:t xml:space="preserve">5.5 m) with </w:t>
      </w:r>
      <w:r w:rsidR="0019588C" w:rsidRPr="00780D2B">
        <w:rPr>
          <w:rFonts w:ascii="Arial" w:eastAsia="Arial" w:hAnsi="Arial" w:cs="Arial"/>
          <w:sz w:val="24"/>
          <w:szCs w:val="24"/>
        </w:rPr>
        <w:t>shear-</w:t>
      </w:r>
      <w:r w:rsidR="00AF5741" w:rsidRPr="00780D2B">
        <w:rPr>
          <w:rFonts w:ascii="Arial" w:eastAsia="Arial" w:hAnsi="Arial" w:cs="Arial"/>
          <w:sz w:val="24"/>
          <w:szCs w:val="24"/>
        </w:rPr>
        <w:t>wave velocity (</w:t>
      </w:r>
      <m:oMath>
        <m:sSub>
          <m:sSubPr>
            <m:ctrlPr>
              <w:rPr>
                <w:rFonts w:ascii="Cambria Math" w:eastAsia="Arial" w:hAnsi="Cambria Math" w:cs="Arial"/>
                <w:i/>
                <w:sz w:val="24"/>
                <w:szCs w:val="24"/>
              </w:rPr>
            </m:ctrlPr>
          </m:sSubPr>
          <m:e>
            <m:r>
              <w:rPr>
                <w:rFonts w:ascii="Cambria Math" w:eastAsia="Arial" w:hAnsi="Cambria Math" w:cs="Arial"/>
                <w:sz w:val="24"/>
                <w:szCs w:val="24"/>
              </w:rPr>
              <m:t>v</m:t>
            </m:r>
          </m:e>
          <m:sub>
            <m:r>
              <w:rPr>
                <w:rFonts w:ascii="Cambria Math" w:eastAsia="Arial" w:hAnsi="Cambria Math" w:cs="Arial"/>
                <w:sz w:val="24"/>
                <w:szCs w:val="24"/>
              </w:rPr>
              <m:t>s</m:t>
            </m:r>
          </m:sub>
        </m:sSub>
      </m:oMath>
      <w:r w:rsidR="00AF5741" w:rsidRPr="00780D2B">
        <w:rPr>
          <w:rFonts w:ascii="Arial" w:eastAsia="Arial" w:hAnsi="Arial" w:cs="Arial"/>
          <w:sz w:val="24"/>
          <w:szCs w:val="24"/>
        </w:rPr>
        <w:t>) of 250</w:t>
      </w:r>
      <w:r w:rsidR="00266E6C" w:rsidRPr="00780D2B">
        <w:rPr>
          <w:rFonts w:ascii="Arial" w:eastAsia="Arial" w:hAnsi="Arial" w:cs="Arial"/>
          <w:sz w:val="24"/>
          <w:szCs w:val="24"/>
        </w:rPr>
        <w:t>-</w:t>
      </w:r>
      <w:r w:rsidR="00AF5741" w:rsidRPr="00780D2B">
        <w:rPr>
          <w:rFonts w:ascii="Arial" w:eastAsia="Arial" w:hAnsi="Arial" w:cs="Arial"/>
          <w:sz w:val="24"/>
          <w:szCs w:val="24"/>
        </w:rPr>
        <w:t>350 m/s, an intermediate layer (depth</w:t>
      </w:r>
      <w:r w:rsidR="00266E6C" w:rsidRPr="00780D2B">
        <w:rPr>
          <w:rFonts w:ascii="Arial" w:eastAsia="Arial" w:hAnsi="Arial" w:cs="Arial"/>
          <w:sz w:val="24"/>
          <w:szCs w:val="24"/>
        </w:rPr>
        <w:t xml:space="preserve"> from 4-5.5 m</w:t>
      </w:r>
      <w:r w:rsidR="00AF5741" w:rsidRPr="00780D2B">
        <w:rPr>
          <w:rFonts w:ascii="Arial" w:eastAsia="Arial" w:hAnsi="Arial" w:cs="Arial"/>
          <w:sz w:val="24"/>
          <w:szCs w:val="24"/>
        </w:rPr>
        <w:t xml:space="preserve"> up to </w:t>
      </w:r>
      <w:r w:rsidR="00F863BF" w:rsidRPr="00780D2B">
        <w:rPr>
          <w:rFonts w:ascii="Arial" w:eastAsia="Arial" w:hAnsi="Arial" w:cs="Arial"/>
          <w:sz w:val="24"/>
          <w:szCs w:val="24"/>
        </w:rPr>
        <w:t>11</w:t>
      </w:r>
      <w:r w:rsidR="00266E6C" w:rsidRPr="00780D2B">
        <w:rPr>
          <w:rFonts w:ascii="Arial" w:eastAsia="Arial" w:hAnsi="Arial" w:cs="Arial"/>
          <w:sz w:val="24"/>
          <w:szCs w:val="24"/>
        </w:rPr>
        <w:t>-</w:t>
      </w:r>
      <w:r w:rsidR="00F863BF" w:rsidRPr="00780D2B">
        <w:rPr>
          <w:rFonts w:ascii="Arial" w:eastAsia="Arial" w:hAnsi="Arial" w:cs="Arial"/>
          <w:sz w:val="24"/>
          <w:szCs w:val="24"/>
        </w:rPr>
        <w:t>15</w:t>
      </w:r>
      <w:r w:rsidR="00AF5741" w:rsidRPr="00780D2B">
        <w:rPr>
          <w:rFonts w:ascii="Arial" w:eastAsia="Arial" w:hAnsi="Arial" w:cs="Arial"/>
          <w:sz w:val="24"/>
          <w:szCs w:val="24"/>
        </w:rPr>
        <w:t xml:space="preserve"> m) with </w:t>
      </w:r>
      <m:oMath>
        <m:sSub>
          <m:sSubPr>
            <m:ctrlPr>
              <w:rPr>
                <w:rFonts w:ascii="Cambria Math" w:eastAsia="Arial" w:hAnsi="Cambria Math" w:cs="Arial"/>
                <w:i/>
                <w:sz w:val="24"/>
                <w:szCs w:val="24"/>
              </w:rPr>
            </m:ctrlPr>
          </m:sSubPr>
          <m:e>
            <m:r>
              <w:rPr>
                <w:rFonts w:ascii="Cambria Math" w:eastAsia="Arial" w:hAnsi="Cambria Math" w:cs="Arial"/>
                <w:sz w:val="24"/>
                <w:szCs w:val="24"/>
              </w:rPr>
              <m:t>v</m:t>
            </m:r>
          </m:e>
          <m:sub>
            <m:r>
              <w:rPr>
                <w:rFonts w:ascii="Cambria Math" w:eastAsia="Arial" w:hAnsi="Cambria Math" w:cs="Arial"/>
                <w:sz w:val="24"/>
                <w:szCs w:val="24"/>
              </w:rPr>
              <m:t>s</m:t>
            </m:r>
          </m:sub>
        </m:sSub>
      </m:oMath>
      <w:r w:rsidR="00F863BF" w:rsidRPr="00780D2B">
        <w:rPr>
          <w:rFonts w:ascii="Arial" w:eastAsia="Arial" w:hAnsi="Arial" w:cs="Arial"/>
          <w:sz w:val="24"/>
          <w:szCs w:val="24"/>
        </w:rPr>
        <w:t xml:space="preserve"> </w:t>
      </w:r>
      <w:r w:rsidR="00AF5741" w:rsidRPr="00780D2B">
        <w:rPr>
          <w:rFonts w:ascii="Arial" w:eastAsia="Arial" w:hAnsi="Arial" w:cs="Arial"/>
          <w:sz w:val="24"/>
          <w:szCs w:val="24"/>
        </w:rPr>
        <w:t>600</w:t>
      </w:r>
      <w:r w:rsidR="00266E6C" w:rsidRPr="00780D2B">
        <w:rPr>
          <w:rFonts w:ascii="Arial" w:eastAsia="Arial" w:hAnsi="Arial" w:cs="Arial"/>
          <w:sz w:val="24"/>
          <w:szCs w:val="24"/>
        </w:rPr>
        <w:t>-</w:t>
      </w:r>
      <w:r w:rsidR="00AF5741" w:rsidRPr="00780D2B">
        <w:rPr>
          <w:rFonts w:ascii="Arial" w:eastAsia="Arial" w:hAnsi="Arial" w:cs="Arial"/>
          <w:sz w:val="24"/>
          <w:szCs w:val="24"/>
        </w:rPr>
        <w:t xml:space="preserve">800 m/s, and a </w:t>
      </w:r>
      <w:r w:rsidR="00F863BF" w:rsidRPr="00780D2B">
        <w:rPr>
          <w:rFonts w:ascii="Arial" w:eastAsia="Arial" w:hAnsi="Arial" w:cs="Arial"/>
          <w:sz w:val="24"/>
          <w:szCs w:val="24"/>
        </w:rPr>
        <w:t xml:space="preserve">third layer </w:t>
      </w:r>
      <w:r w:rsidR="00266E6C" w:rsidRPr="00780D2B">
        <w:rPr>
          <w:rFonts w:ascii="Arial" w:eastAsia="Arial" w:hAnsi="Arial" w:cs="Arial"/>
          <w:sz w:val="24"/>
          <w:szCs w:val="24"/>
        </w:rPr>
        <w:t>below 11-15 m</w:t>
      </w:r>
      <w:r w:rsidR="00F863BF" w:rsidRPr="00780D2B">
        <w:rPr>
          <w:rFonts w:ascii="Arial" w:eastAsia="Arial" w:hAnsi="Arial" w:cs="Arial"/>
          <w:sz w:val="24"/>
          <w:szCs w:val="24"/>
        </w:rPr>
        <w:t xml:space="preserve"> with </w:t>
      </w:r>
      <m:oMath>
        <m:sSub>
          <m:sSubPr>
            <m:ctrlPr>
              <w:rPr>
                <w:rFonts w:ascii="Cambria Math" w:eastAsia="Arial" w:hAnsi="Cambria Math" w:cs="Arial"/>
                <w:i/>
                <w:sz w:val="24"/>
                <w:szCs w:val="24"/>
              </w:rPr>
            </m:ctrlPr>
          </m:sSubPr>
          <m:e>
            <m:r>
              <w:rPr>
                <w:rFonts w:ascii="Cambria Math" w:eastAsia="Arial" w:hAnsi="Cambria Math" w:cs="Arial"/>
                <w:sz w:val="24"/>
                <w:szCs w:val="24"/>
              </w:rPr>
              <m:t>v</m:t>
            </m:r>
          </m:e>
          <m:sub>
            <m:r>
              <w:rPr>
                <w:rFonts w:ascii="Cambria Math" w:eastAsia="Arial" w:hAnsi="Cambria Math" w:cs="Arial"/>
                <w:sz w:val="24"/>
                <w:szCs w:val="24"/>
              </w:rPr>
              <m:t>s</m:t>
            </m:r>
          </m:sub>
        </m:sSub>
      </m:oMath>
      <w:r w:rsidR="00F863BF" w:rsidRPr="00780D2B">
        <w:rPr>
          <w:rFonts w:ascii="Arial" w:eastAsia="Arial" w:hAnsi="Arial" w:cs="Arial"/>
          <w:sz w:val="24"/>
          <w:szCs w:val="24"/>
        </w:rPr>
        <w:t xml:space="preserve"> 1600</w:t>
      </w:r>
      <w:r w:rsidR="00266E6C" w:rsidRPr="00780D2B">
        <w:rPr>
          <w:rFonts w:ascii="Arial" w:eastAsia="Arial" w:hAnsi="Arial" w:cs="Arial"/>
          <w:sz w:val="24"/>
          <w:szCs w:val="24"/>
        </w:rPr>
        <w:t>-</w:t>
      </w:r>
      <w:r w:rsidR="00F863BF" w:rsidRPr="00780D2B">
        <w:rPr>
          <w:rFonts w:ascii="Arial" w:eastAsia="Arial" w:hAnsi="Arial" w:cs="Arial"/>
          <w:sz w:val="24"/>
          <w:szCs w:val="24"/>
        </w:rPr>
        <w:t xml:space="preserve">1800 m/s.  </w:t>
      </w:r>
    </w:p>
    <w:p w14:paraId="71B7DB33" w14:textId="77777777" w:rsidR="007D17B2" w:rsidRPr="00780D2B" w:rsidRDefault="00000000">
      <w:pPr>
        <w:spacing w:line="480" w:lineRule="auto"/>
        <w:jc w:val="both"/>
        <w:rPr>
          <w:rFonts w:ascii="Arial" w:eastAsia="Arial" w:hAnsi="Arial" w:cs="Arial"/>
          <w:sz w:val="24"/>
          <w:szCs w:val="24"/>
        </w:rPr>
      </w:pPr>
      <w:r w:rsidRPr="00780D2B">
        <w:rPr>
          <w:rFonts w:ascii="Arial" w:eastAsia="Arial" w:hAnsi="Arial" w:cs="Arial"/>
          <w:sz w:val="24"/>
          <w:szCs w:val="24"/>
        </w:rPr>
        <w:t xml:space="preserve">The building was designed in accordance with the Italian structural regulations in force at the time (Ministerial Decree of January 9, 1996; </w:t>
      </w:r>
      <w:proofErr w:type="spellStart"/>
      <w:r w:rsidRPr="00780D2B">
        <w:rPr>
          <w:rFonts w:ascii="Arial" w:eastAsia="Arial" w:hAnsi="Arial" w:cs="Arial"/>
          <w:sz w:val="24"/>
          <w:szCs w:val="24"/>
        </w:rPr>
        <w:t>Ministero</w:t>
      </w:r>
      <w:proofErr w:type="spellEnd"/>
      <w:r w:rsidRPr="00780D2B">
        <w:rPr>
          <w:rFonts w:ascii="Arial" w:eastAsia="Arial" w:hAnsi="Arial" w:cs="Arial"/>
          <w:sz w:val="24"/>
          <w:szCs w:val="24"/>
        </w:rPr>
        <w:t xml:space="preserve"> </w:t>
      </w:r>
      <w:proofErr w:type="spellStart"/>
      <w:r w:rsidRPr="00780D2B">
        <w:rPr>
          <w:rFonts w:ascii="Arial" w:eastAsia="Arial" w:hAnsi="Arial" w:cs="Arial"/>
          <w:sz w:val="24"/>
          <w:szCs w:val="24"/>
        </w:rPr>
        <w:t>dei</w:t>
      </w:r>
      <w:proofErr w:type="spellEnd"/>
      <w:r w:rsidRPr="00780D2B">
        <w:rPr>
          <w:rFonts w:ascii="Arial" w:eastAsia="Arial" w:hAnsi="Arial" w:cs="Arial"/>
          <w:sz w:val="24"/>
          <w:szCs w:val="24"/>
        </w:rPr>
        <w:t xml:space="preserve"> </w:t>
      </w:r>
      <w:proofErr w:type="spellStart"/>
      <w:r w:rsidRPr="00780D2B">
        <w:rPr>
          <w:rFonts w:ascii="Arial" w:eastAsia="Arial" w:hAnsi="Arial" w:cs="Arial"/>
          <w:sz w:val="24"/>
          <w:szCs w:val="24"/>
        </w:rPr>
        <w:t>Lavori</w:t>
      </w:r>
      <w:proofErr w:type="spellEnd"/>
      <w:r w:rsidRPr="00780D2B">
        <w:rPr>
          <w:rFonts w:ascii="Arial" w:eastAsia="Arial" w:hAnsi="Arial" w:cs="Arial"/>
          <w:sz w:val="24"/>
          <w:szCs w:val="24"/>
        </w:rPr>
        <w:t xml:space="preserve"> </w:t>
      </w:r>
      <w:proofErr w:type="spellStart"/>
      <w:r w:rsidRPr="00780D2B">
        <w:rPr>
          <w:rFonts w:ascii="Arial" w:eastAsia="Arial" w:hAnsi="Arial" w:cs="Arial"/>
          <w:sz w:val="24"/>
          <w:szCs w:val="24"/>
        </w:rPr>
        <w:t>Pubblici</w:t>
      </w:r>
      <w:proofErr w:type="spellEnd"/>
      <w:r w:rsidRPr="00780D2B">
        <w:rPr>
          <w:rFonts w:ascii="Arial" w:eastAsia="Arial" w:hAnsi="Arial" w:cs="Arial"/>
          <w:sz w:val="24"/>
          <w:szCs w:val="24"/>
        </w:rPr>
        <w:t>, 1996), as well as with Eurocode 2 for concrete design (CEN, 2004), Eurocode 4 for composite steel-concrete systems (CEN, 2005), and Eurocode 8 for seismic loading (CEN, 2006). A static load test campaign comprising five load scenarios was conducted in January 2011 to validate the as-built structural performance.</w:t>
      </w:r>
    </w:p>
    <w:p w14:paraId="35613767" w14:textId="77777777" w:rsidR="007D17B2" w:rsidRPr="00780D2B" w:rsidRDefault="00000000">
      <w:pPr>
        <w:spacing w:before="240" w:after="240" w:line="480" w:lineRule="auto"/>
        <w:jc w:val="center"/>
        <w:rPr>
          <w:rFonts w:ascii="Arial" w:eastAsia="Arial" w:hAnsi="Arial" w:cs="Arial"/>
          <w:sz w:val="24"/>
          <w:szCs w:val="24"/>
        </w:rPr>
      </w:pPr>
      <w:r w:rsidRPr="00780D2B">
        <w:rPr>
          <w:rFonts w:ascii="Arial" w:eastAsia="Arial" w:hAnsi="Arial" w:cs="Arial"/>
          <w:noProof/>
          <w:sz w:val="24"/>
          <w:szCs w:val="24"/>
        </w:rPr>
        <w:lastRenderedPageBreak/>
        <w:drawing>
          <wp:inline distT="114300" distB="114300" distL="114300" distR="114300" wp14:anchorId="49AB3C61" wp14:editId="49383320">
            <wp:extent cx="6119820" cy="4699000"/>
            <wp:effectExtent l="0" t="0" r="0" b="0"/>
            <wp:docPr id="16"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3"/>
                    <a:srcRect l="48" r="48"/>
                    <a:stretch>
                      <a:fillRect/>
                    </a:stretch>
                  </pic:blipFill>
                  <pic:spPr>
                    <a:xfrm>
                      <a:off x="0" y="0"/>
                      <a:ext cx="6119820" cy="4699000"/>
                    </a:xfrm>
                    <a:prstGeom prst="rect">
                      <a:avLst/>
                    </a:prstGeom>
                    <a:ln/>
                  </pic:spPr>
                </pic:pic>
              </a:graphicData>
            </a:graphic>
          </wp:inline>
        </w:drawing>
      </w:r>
    </w:p>
    <w:p w14:paraId="6D973844" w14:textId="77777777" w:rsidR="007D17B2" w:rsidRPr="00780D2B" w:rsidRDefault="00000000">
      <w:pPr>
        <w:pBdr>
          <w:top w:val="nil"/>
          <w:left w:val="nil"/>
          <w:bottom w:val="nil"/>
          <w:right w:val="nil"/>
          <w:between w:val="nil"/>
        </w:pBdr>
        <w:spacing w:after="240" w:line="480" w:lineRule="auto"/>
        <w:jc w:val="both"/>
        <w:rPr>
          <w:rFonts w:ascii="Arial" w:eastAsia="Arial" w:hAnsi="Arial" w:cs="Arial"/>
          <w:i/>
          <w:iCs/>
          <w:sz w:val="24"/>
          <w:szCs w:val="24"/>
        </w:rPr>
      </w:pPr>
      <w:r w:rsidRPr="00780D2B">
        <w:rPr>
          <w:rFonts w:ascii="Arial" w:eastAsia="Arial" w:hAnsi="Arial" w:cs="Arial"/>
          <w:b/>
          <w:bCs/>
          <w:i/>
          <w:iCs/>
          <w:color w:val="000000"/>
          <w:sz w:val="24"/>
          <w:szCs w:val="24"/>
        </w:rPr>
        <w:t xml:space="preserve">Figure 1. </w:t>
      </w:r>
      <w:r w:rsidRPr="00780D2B">
        <w:rPr>
          <w:rFonts w:ascii="Arial" w:eastAsia="Arial" w:hAnsi="Arial" w:cs="Arial"/>
          <w:i/>
          <w:iCs/>
          <w:color w:val="000000"/>
          <w:sz w:val="24"/>
          <w:szCs w:val="24"/>
        </w:rPr>
        <w:t>a</w:t>
      </w:r>
      <w:r w:rsidRPr="00780D2B">
        <w:rPr>
          <w:rFonts w:ascii="Arial" w:eastAsia="Arial" w:hAnsi="Arial" w:cs="Arial"/>
          <w:i/>
          <w:iCs/>
          <w:sz w:val="24"/>
          <w:szCs w:val="24"/>
        </w:rPr>
        <w:t>)</w:t>
      </w:r>
      <w:r w:rsidRPr="00780D2B">
        <w:rPr>
          <w:rFonts w:ascii="Arial" w:eastAsia="Arial" w:hAnsi="Arial" w:cs="Arial"/>
          <w:b/>
          <w:bCs/>
          <w:i/>
          <w:iCs/>
          <w:sz w:val="24"/>
          <w:szCs w:val="24"/>
        </w:rPr>
        <w:t xml:space="preserve"> </w:t>
      </w:r>
      <w:r w:rsidRPr="00780D2B">
        <w:rPr>
          <w:rFonts w:ascii="Arial" w:eastAsia="Arial" w:hAnsi="Arial" w:cs="Arial"/>
          <w:i/>
          <w:iCs/>
          <w:sz w:val="24"/>
          <w:szCs w:val="24"/>
        </w:rPr>
        <w:t xml:space="preserve">Location of the Terza Torre monitoring infrastructure in Bologna (see inset map). The sensor positions are marked by triangles: in black for the vertical array on the eastern façade (stations RE001-RE006) and for the array on the western side (RE007 and RE008), in red for the nearby borehole station (OX.RERI). b) Instrumentation installed in the building. c) The borehole station, hosting one sensor on the surface and one sensor in well. The photo of the building is courtesy of </w:t>
      </w:r>
      <w:proofErr w:type="spellStart"/>
      <w:r w:rsidRPr="00780D2B">
        <w:rPr>
          <w:rFonts w:ascii="Arial" w:eastAsia="Arial" w:hAnsi="Arial" w:cs="Arial"/>
          <w:i/>
          <w:iCs/>
          <w:sz w:val="24"/>
          <w:szCs w:val="24"/>
        </w:rPr>
        <w:t>Regione</w:t>
      </w:r>
      <w:proofErr w:type="spellEnd"/>
      <w:r w:rsidRPr="00780D2B">
        <w:rPr>
          <w:rFonts w:ascii="Arial" w:eastAsia="Arial" w:hAnsi="Arial" w:cs="Arial"/>
          <w:i/>
          <w:iCs/>
          <w:sz w:val="24"/>
          <w:szCs w:val="24"/>
        </w:rPr>
        <w:t xml:space="preserve"> Emilia-Romagna (2025). Satellite data in the upper left maps are from Google Earth (Landsat/Copernicus) and OpenStreetMap. The color version of this figure is available only in the electronic edition.</w:t>
      </w:r>
    </w:p>
    <w:p w14:paraId="5D567E57" w14:textId="77777777" w:rsidR="007D17B2" w:rsidRPr="00780D2B" w:rsidRDefault="00000000">
      <w:pPr>
        <w:pBdr>
          <w:top w:val="nil"/>
          <w:left w:val="nil"/>
          <w:bottom w:val="nil"/>
          <w:right w:val="nil"/>
          <w:between w:val="nil"/>
        </w:pBdr>
        <w:spacing w:after="240" w:line="480" w:lineRule="auto"/>
        <w:jc w:val="both"/>
        <w:rPr>
          <w:rFonts w:ascii="Arial" w:eastAsia="Arial" w:hAnsi="Arial" w:cs="Arial"/>
          <w:i/>
          <w:iCs/>
          <w:sz w:val="24"/>
          <w:szCs w:val="24"/>
        </w:rPr>
      </w:pPr>
      <w:r w:rsidRPr="00780D2B">
        <w:rPr>
          <w:rFonts w:ascii="Arial" w:eastAsia="Arial" w:hAnsi="Arial" w:cs="Arial"/>
          <w:i/>
          <w:iCs/>
          <w:sz w:val="24"/>
          <w:szCs w:val="24"/>
        </w:rPr>
        <w:lastRenderedPageBreak/>
        <w:t>[Alt Text: A picture of the Terza Torre building taken from above, with the location of the sensors marked, and an inset to show the location of Bologna; a picture of one of an on-building sensor; a picture of the borehole casing, in front of the building]</w:t>
      </w:r>
    </w:p>
    <w:p w14:paraId="5A39B056" w14:textId="74F34036" w:rsidR="007D17B2" w:rsidRPr="00780D2B" w:rsidRDefault="00000000">
      <w:pPr>
        <w:pBdr>
          <w:top w:val="nil"/>
          <w:left w:val="nil"/>
          <w:bottom w:val="nil"/>
          <w:right w:val="nil"/>
          <w:between w:val="nil"/>
        </w:pBdr>
        <w:spacing w:after="240" w:line="480" w:lineRule="auto"/>
        <w:jc w:val="both"/>
        <w:rPr>
          <w:rFonts w:ascii="Arial" w:eastAsia="Arial" w:hAnsi="Arial" w:cs="Arial"/>
          <w:sz w:val="24"/>
          <w:szCs w:val="24"/>
        </w:rPr>
      </w:pPr>
      <w:r w:rsidRPr="00780D2B">
        <w:rPr>
          <w:rFonts w:ascii="Arial" w:eastAsia="Arial" w:hAnsi="Arial" w:cs="Arial"/>
          <w:sz w:val="24"/>
          <w:szCs w:val="24"/>
        </w:rPr>
        <w:t>A finite element model (FEM) of the building was developed during the structural design phase in 1999 to estimate its dynamic properties</w:t>
      </w:r>
      <w:r w:rsidR="00C52138" w:rsidRPr="00780D2B">
        <w:rPr>
          <w:rFonts w:ascii="Arial" w:eastAsia="Arial" w:hAnsi="Arial" w:cs="Arial"/>
          <w:sz w:val="24"/>
          <w:szCs w:val="24"/>
        </w:rPr>
        <w:t xml:space="preserve"> (</w:t>
      </w:r>
      <w:proofErr w:type="spellStart"/>
      <w:r w:rsidR="00C52138" w:rsidRPr="00780D2B">
        <w:rPr>
          <w:rFonts w:ascii="Arial" w:eastAsia="Arial" w:hAnsi="Arial" w:cs="Arial"/>
          <w:sz w:val="24"/>
          <w:szCs w:val="24"/>
          <w:lang w:val="en-US"/>
        </w:rPr>
        <w:t>Redesco</w:t>
      </w:r>
      <w:proofErr w:type="spellEnd"/>
      <w:r w:rsidR="00C52138" w:rsidRPr="00780D2B">
        <w:rPr>
          <w:rFonts w:ascii="Arial" w:eastAsia="Arial" w:hAnsi="Arial" w:cs="Arial"/>
          <w:sz w:val="24"/>
          <w:szCs w:val="24"/>
          <w:lang w:val="en-US"/>
        </w:rPr>
        <w:t>, 1999)</w:t>
      </w:r>
      <w:r w:rsidR="00020316" w:rsidRPr="00780D2B">
        <w:rPr>
          <w:rFonts w:ascii="Arial" w:eastAsia="Arial" w:hAnsi="Arial" w:cs="Arial"/>
          <w:sz w:val="24"/>
          <w:szCs w:val="24"/>
        </w:rPr>
        <w:t xml:space="preserve">, although </w:t>
      </w:r>
      <w:r w:rsidR="00C52138" w:rsidRPr="00780D2B">
        <w:rPr>
          <w:rFonts w:ascii="Arial" w:eastAsia="Arial" w:hAnsi="Arial" w:cs="Arial"/>
          <w:sz w:val="24"/>
          <w:szCs w:val="24"/>
        </w:rPr>
        <w:t xml:space="preserve">some caution is necessary in interpreting its results as </w:t>
      </w:r>
      <w:r w:rsidR="000C6440" w:rsidRPr="00780D2B">
        <w:rPr>
          <w:rFonts w:ascii="Arial" w:eastAsia="Arial" w:hAnsi="Arial" w:cs="Arial"/>
          <w:sz w:val="24"/>
          <w:szCs w:val="24"/>
        </w:rPr>
        <w:t>the</w:t>
      </w:r>
      <w:r w:rsidR="00020316" w:rsidRPr="00780D2B">
        <w:rPr>
          <w:rFonts w:ascii="Arial" w:eastAsia="Arial" w:hAnsi="Arial" w:cs="Arial"/>
          <w:sz w:val="24"/>
          <w:szCs w:val="24"/>
        </w:rPr>
        <w:t xml:space="preserve"> technical documentation does not provide detailed information on the applied modeling assumptions and boundary conditions</w:t>
      </w:r>
      <w:r w:rsidRPr="00780D2B">
        <w:rPr>
          <w:rFonts w:ascii="Arial" w:eastAsia="Arial" w:hAnsi="Arial" w:cs="Arial"/>
          <w:sz w:val="24"/>
          <w:szCs w:val="24"/>
        </w:rPr>
        <w:t xml:space="preserve">. The results of the modal analysis reported in the design documentation include five fundamental vibration modes, characterized by periods ranging from 2.59 s to 0.61 s, and involving both translational and torsional deformation patterns (Table 1). These correspond to the modes with the highest mass participation, which are typically the most relevant for seismic design. </w:t>
      </w:r>
    </w:p>
    <w:p w14:paraId="722EC02F" w14:textId="77777777" w:rsidR="007D17B2" w:rsidRPr="00780D2B" w:rsidRDefault="00000000">
      <w:pPr>
        <w:spacing w:after="240" w:line="480" w:lineRule="auto"/>
        <w:jc w:val="both"/>
        <w:rPr>
          <w:rFonts w:ascii="Arial" w:eastAsia="Arial" w:hAnsi="Arial" w:cs="Arial"/>
          <w:sz w:val="24"/>
          <w:szCs w:val="24"/>
        </w:rPr>
      </w:pPr>
      <w:r w:rsidRPr="00780D2B">
        <w:rPr>
          <w:rFonts w:ascii="Arial" w:eastAsia="Arial" w:hAnsi="Arial" w:cs="Arial"/>
          <w:b/>
          <w:bCs/>
          <w:i/>
          <w:iCs/>
          <w:sz w:val="24"/>
          <w:szCs w:val="24"/>
        </w:rPr>
        <w:t>Table 1.</w:t>
      </w:r>
      <w:r w:rsidRPr="00780D2B">
        <w:rPr>
          <w:rFonts w:ascii="Arial" w:eastAsia="Arial" w:hAnsi="Arial" w:cs="Arial"/>
          <w:i/>
          <w:iCs/>
          <w:sz w:val="24"/>
          <w:szCs w:val="24"/>
        </w:rPr>
        <w:t xml:space="preserve"> Fundamental vibration modes of the Terza Torre building, with corresponding periods (in seconds) and frequencies (in Hz), as identified from the 1999 finite element model developed during the design phase.</w:t>
      </w:r>
      <w:r w:rsidRPr="00780D2B">
        <w:rPr>
          <w:rFonts w:ascii="Arial" w:eastAsia="Arial" w:hAnsi="Arial" w:cs="Arial"/>
          <w:sz w:val="24"/>
          <w:szCs w:val="24"/>
        </w:rPr>
        <w:t xml:space="preserve">            </w:t>
      </w:r>
    </w:p>
    <w:tbl>
      <w:tblPr>
        <w:tblStyle w:val="a1"/>
        <w:tblW w:w="538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98"/>
        <w:gridCol w:w="3288"/>
      </w:tblGrid>
      <w:tr w:rsidR="007D17B2" w:rsidRPr="00780D2B" w14:paraId="75A4C895" w14:textId="77777777">
        <w:trPr>
          <w:trHeight w:val="397"/>
        </w:trPr>
        <w:tc>
          <w:tcPr>
            <w:tcW w:w="2098" w:type="dxa"/>
            <w:vAlign w:val="center"/>
          </w:tcPr>
          <w:p w14:paraId="068FCF54" w14:textId="77777777" w:rsidR="007D17B2" w:rsidRPr="00780D2B" w:rsidRDefault="00000000">
            <w:pPr>
              <w:jc w:val="center"/>
              <w:rPr>
                <w:rFonts w:ascii="Arial" w:eastAsia="Arial" w:hAnsi="Arial" w:cs="Arial"/>
                <w:b/>
                <w:bCs/>
                <w:sz w:val="24"/>
                <w:szCs w:val="24"/>
              </w:rPr>
            </w:pPr>
            <w:r w:rsidRPr="00780D2B">
              <w:rPr>
                <w:rFonts w:ascii="Arial" w:eastAsia="Arial" w:hAnsi="Arial" w:cs="Arial"/>
                <w:b/>
                <w:bCs/>
                <w:sz w:val="24"/>
                <w:szCs w:val="24"/>
              </w:rPr>
              <w:t>Mode</w:t>
            </w:r>
          </w:p>
        </w:tc>
        <w:tc>
          <w:tcPr>
            <w:tcW w:w="3288" w:type="dxa"/>
            <w:vAlign w:val="center"/>
          </w:tcPr>
          <w:p w14:paraId="56116D8E" w14:textId="77777777" w:rsidR="007D17B2" w:rsidRPr="00780D2B" w:rsidRDefault="00000000">
            <w:pPr>
              <w:jc w:val="center"/>
              <w:rPr>
                <w:rFonts w:ascii="Arial" w:eastAsia="Arial" w:hAnsi="Arial" w:cs="Arial"/>
                <w:b/>
                <w:bCs/>
                <w:sz w:val="24"/>
                <w:szCs w:val="24"/>
              </w:rPr>
            </w:pPr>
            <w:r w:rsidRPr="00780D2B">
              <w:rPr>
                <w:rFonts w:ascii="Arial" w:eastAsia="Arial" w:hAnsi="Arial" w:cs="Arial"/>
                <w:b/>
                <w:bCs/>
                <w:sz w:val="24"/>
                <w:szCs w:val="24"/>
              </w:rPr>
              <w:t>Period (Frequency)</w:t>
            </w:r>
          </w:p>
        </w:tc>
      </w:tr>
      <w:tr w:rsidR="007D17B2" w:rsidRPr="00780D2B" w14:paraId="073B1DED" w14:textId="77777777">
        <w:trPr>
          <w:trHeight w:val="397"/>
        </w:trPr>
        <w:tc>
          <w:tcPr>
            <w:tcW w:w="2098" w:type="dxa"/>
            <w:vAlign w:val="center"/>
          </w:tcPr>
          <w:p w14:paraId="4DB000D4" w14:textId="77777777" w:rsidR="007D17B2" w:rsidRPr="00780D2B" w:rsidRDefault="00000000">
            <w:pPr>
              <w:jc w:val="center"/>
              <w:rPr>
                <w:rFonts w:ascii="Arial" w:eastAsia="Arial" w:hAnsi="Arial" w:cs="Arial"/>
                <w:sz w:val="24"/>
                <w:szCs w:val="24"/>
              </w:rPr>
            </w:pPr>
            <w:r w:rsidRPr="00780D2B">
              <w:rPr>
                <w:rFonts w:ascii="Arial" w:eastAsia="Arial" w:hAnsi="Arial" w:cs="Arial"/>
                <w:sz w:val="24"/>
                <w:szCs w:val="24"/>
              </w:rPr>
              <w:t>1a</w:t>
            </w:r>
          </w:p>
        </w:tc>
        <w:tc>
          <w:tcPr>
            <w:tcW w:w="3288" w:type="dxa"/>
            <w:vAlign w:val="center"/>
          </w:tcPr>
          <w:p w14:paraId="741C92DD" w14:textId="77777777" w:rsidR="007D17B2" w:rsidRPr="00780D2B" w:rsidRDefault="00000000">
            <w:pPr>
              <w:jc w:val="center"/>
              <w:rPr>
                <w:rFonts w:ascii="Arial" w:eastAsia="Arial" w:hAnsi="Arial" w:cs="Arial"/>
                <w:sz w:val="24"/>
                <w:szCs w:val="24"/>
              </w:rPr>
            </w:pPr>
            <w:r w:rsidRPr="00780D2B">
              <w:rPr>
                <w:rFonts w:ascii="Arial" w:eastAsia="Arial" w:hAnsi="Arial" w:cs="Arial"/>
                <w:sz w:val="24"/>
                <w:szCs w:val="24"/>
              </w:rPr>
              <w:t>2.59 s (0.39 Hz)</w:t>
            </w:r>
          </w:p>
        </w:tc>
      </w:tr>
      <w:tr w:rsidR="007D17B2" w:rsidRPr="00780D2B" w14:paraId="7882553B" w14:textId="77777777">
        <w:trPr>
          <w:trHeight w:val="397"/>
        </w:trPr>
        <w:tc>
          <w:tcPr>
            <w:tcW w:w="2098" w:type="dxa"/>
            <w:vAlign w:val="center"/>
          </w:tcPr>
          <w:p w14:paraId="01F7C779" w14:textId="77777777" w:rsidR="007D17B2" w:rsidRPr="00780D2B" w:rsidRDefault="00000000">
            <w:pPr>
              <w:jc w:val="center"/>
              <w:rPr>
                <w:rFonts w:ascii="Arial" w:eastAsia="Arial" w:hAnsi="Arial" w:cs="Arial"/>
                <w:sz w:val="24"/>
                <w:szCs w:val="24"/>
              </w:rPr>
            </w:pPr>
            <w:r w:rsidRPr="00780D2B">
              <w:rPr>
                <w:rFonts w:ascii="Arial" w:eastAsia="Arial" w:hAnsi="Arial" w:cs="Arial"/>
                <w:sz w:val="24"/>
                <w:szCs w:val="24"/>
              </w:rPr>
              <w:t>1b</w:t>
            </w:r>
          </w:p>
        </w:tc>
        <w:tc>
          <w:tcPr>
            <w:tcW w:w="3288" w:type="dxa"/>
            <w:vAlign w:val="center"/>
          </w:tcPr>
          <w:p w14:paraId="19AC0D2E" w14:textId="77777777" w:rsidR="007D17B2" w:rsidRPr="00780D2B" w:rsidRDefault="00000000">
            <w:pPr>
              <w:jc w:val="center"/>
              <w:rPr>
                <w:rFonts w:ascii="Arial" w:eastAsia="Arial" w:hAnsi="Arial" w:cs="Arial"/>
                <w:sz w:val="24"/>
                <w:szCs w:val="24"/>
              </w:rPr>
            </w:pPr>
            <w:r w:rsidRPr="00780D2B">
              <w:rPr>
                <w:rFonts w:ascii="Arial" w:eastAsia="Arial" w:hAnsi="Arial" w:cs="Arial"/>
                <w:sz w:val="24"/>
                <w:szCs w:val="24"/>
              </w:rPr>
              <w:t>2.42 s (0.41 Hz)</w:t>
            </w:r>
          </w:p>
        </w:tc>
      </w:tr>
      <w:tr w:rsidR="007D17B2" w:rsidRPr="00780D2B" w14:paraId="1B4318CB" w14:textId="77777777">
        <w:trPr>
          <w:trHeight w:val="397"/>
        </w:trPr>
        <w:tc>
          <w:tcPr>
            <w:tcW w:w="2098" w:type="dxa"/>
            <w:vAlign w:val="center"/>
          </w:tcPr>
          <w:p w14:paraId="3B0CC021" w14:textId="77777777" w:rsidR="007D17B2" w:rsidRPr="00780D2B" w:rsidRDefault="00000000">
            <w:pPr>
              <w:jc w:val="center"/>
              <w:rPr>
                <w:rFonts w:ascii="Arial" w:eastAsia="Arial" w:hAnsi="Arial" w:cs="Arial"/>
                <w:sz w:val="24"/>
                <w:szCs w:val="24"/>
              </w:rPr>
            </w:pPr>
            <w:r w:rsidRPr="00780D2B">
              <w:rPr>
                <w:rFonts w:ascii="Arial" w:eastAsia="Arial" w:hAnsi="Arial" w:cs="Arial"/>
                <w:sz w:val="24"/>
                <w:szCs w:val="24"/>
              </w:rPr>
              <w:t>2</w:t>
            </w:r>
          </w:p>
        </w:tc>
        <w:tc>
          <w:tcPr>
            <w:tcW w:w="3288" w:type="dxa"/>
            <w:vAlign w:val="center"/>
          </w:tcPr>
          <w:p w14:paraId="73338A07" w14:textId="77777777" w:rsidR="007D17B2" w:rsidRPr="00780D2B" w:rsidRDefault="00000000">
            <w:pPr>
              <w:jc w:val="center"/>
              <w:rPr>
                <w:rFonts w:ascii="Arial" w:eastAsia="Arial" w:hAnsi="Arial" w:cs="Arial"/>
                <w:sz w:val="24"/>
                <w:szCs w:val="24"/>
              </w:rPr>
            </w:pPr>
            <w:r w:rsidRPr="00780D2B">
              <w:rPr>
                <w:rFonts w:ascii="Arial" w:eastAsia="Arial" w:hAnsi="Arial" w:cs="Arial"/>
                <w:sz w:val="24"/>
                <w:szCs w:val="24"/>
              </w:rPr>
              <w:t>1.45 s (0.69 Hz)</w:t>
            </w:r>
          </w:p>
        </w:tc>
      </w:tr>
      <w:tr w:rsidR="007D17B2" w:rsidRPr="00780D2B" w14:paraId="6CA465D9" w14:textId="77777777">
        <w:trPr>
          <w:trHeight w:val="397"/>
        </w:trPr>
        <w:tc>
          <w:tcPr>
            <w:tcW w:w="2098" w:type="dxa"/>
            <w:vAlign w:val="center"/>
          </w:tcPr>
          <w:p w14:paraId="781AED19" w14:textId="77777777" w:rsidR="007D17B2" w:rsidRPr="00780D2B" w:rsidRDefault="00000000">
            <w:pPr>
              <w:jc w:val="center"/>
              <w:rPr>
                <w:rFonts w:ascii="Arial" w:eastAsia="Arial" w:hAnsi="Arial" w:cs="Arial"/>
                <w:sz w:val="24"/>
                <w:szCs w:val="24"/>
              </w:rPr>
            </w:pPr>
            <w:r w:rsidRPr="00780D2B">
              <w:rPr>
                <w:rFonts w:ascii="Arial" w:eastAsia="Arial" w:hAnsi="Arial" w:cs="Arial"/>
                <w:sz w:val="24"/>
                <w:szCs w:val="24"/>
              </w:rPr>
              <w:t>3</w:t>
            </w:r>
          </w:p>
        </w:tc>
        <w:tc>
          <w:tcPr>
            <w:tcW w:w="3288" w:type="dxa"/>
            <w:vAlign w:val="center"/>
          </w:tcPr>
          <w:p w14:paraId="3C06D19E" w14:textId="77777777" w:rsidR="007D17B2" w:rsidRPr="00780D2B" w:rsidRDefault="00000000">
            <w:pPr>
              <w:jc w:val="center"/>
              <w:rPr>
                <w:rFonts w:ascii="Arial" w:eastAsia="Arial" w:hAnsi="Arial" w:cs="Arial"/>
                <w:sz w:val="24"/>
                <w:szCs w:val="24"/>
              </w:rPr>
            </w:pPr>
            <w:r w:rsidRPr="00780D2B">
              <w:rPr>
                <w:rFonts w:ascii="Arial" w:eastAsia="Arial" w:hAnsi="Arial" w:cs="Arial"/>
                <w:sz w:val="24"/>
                <w:szCs w:val="24"/>
              </w:rPr>
              <w:t>0.66 s (1.52 Hz)</w:t>
            </w:r>
          </w:p>
        </w:tc>
      </w:tr>
      <w:tr w:rsidR="007D17B2" w:rsidRPr="00780D2B" w14:paraId="2143C1AE" w14:textId="77777777">
        <w:trPr>
          <w:trHeight w:val="397"/>
        </w:trPr>
        <w:tc>
          <w:tcPr>
            <w:tcW w:w="2098" w:type="dxa"/>
            <w:vAlign w:val="center"/>
          </w:tcPr>
          <w:p w14:paraId="79E432A9" w14:textId="77777777" w:rsidR="007D17B2" w:rsidRPr="00780D2B" w:rsidRDefault="00000000">
            <w:pPr>
              <w:jc w:val="center"/>
              <w:rPr>
                <w:rFonts w:ascii="Arial" w:eastAsia="Arial" w:hAnsi="Arial" w:cs="Arial"/>
                <w:sz w:val="24"/>
                <w:szCs w:val="24"/>
              </w:rPr>
            </w:pPr>
            <w:r w:rsidRPr="00780D2B">
              <w:rPr>
                <w:rFonts w:ascii="Arial" w:eastAsia="Arial" w:hAnsi="Arial" w:cs="Arial"/>
                <w:sz w:val="24"/>
                <w:szCs w:val="24"/>
              </w:rPr>
              <w:t>4</w:t>
            </w:r>
          </w:p>
        </w:tc>
        <w:tc>
          <w:tcPr>
            <w:tcW w:w="3288" w:type="dxa"/>
            <w:vAlign w:val="center"/>
          </w:tcPr>
          <w:p w14:paraId="42786EE9" w14:textId="77777777" w:rsidR="007D17B2" w:rsidRPr="00780D2B" w:rsidRDefault="00000000">
            <w:pPr>
              <w:jc w:val="center"/>
              <w:rPr>
                <w:rFonts w:ascii="Arial" w:eastAsia="Arial" w:hAnsi="Arial" w:cs="Arial"/>
                <w:sz w:val="24"/>
                <w:szCs w:val="24"/>
              </w:rPr>
            </w:pPr>
            <w:r w:rsidRPr="00780D2B">
              <w:rPr>
                <w:rFonts w:ascii="Arial" w:eastAsia="Arial" w:hAnsi="Arial" w:cs="Arial"/>
                <w:sz w:val="24"/>
                <w:szCs w:val="24"/>
              </w:rPr>
              <w:t>0.61 s (1.64 Hz)</w:t>
            </w:r>
          </w:p>
        </w:tc>
      </w:tr>
    </w:tbl>
    <w:p w14:paraId="3F69EC4E" w14:textId="77777777" w:rsidR="007D17B2" w:rsidRPr="00780D2B" w:rsidRDefault="00000000">
      <w:pPr>
        <w:pStyle w:val="Titolo2"/>
        <w:spacing w:before="480" w:line="480" w:lineRule="auto"/>
        <w:rPr>
          <w:rFonts w:ascii="Arial" w:eastAsia="Arial" w:hAnsi="Arial" w:cs="Arial"/>
          <w:i/>
          <w:iCs/>
        </w:rPr>
      </w:pPr>
      <w:bookmarkStart w:id="10" w:name="_heading=h.pg8h0wwba9ct" w:colFirst="0" w:colLast="0"/>
      <w:bookmarkEnd w:id="10"/>
      <w:r w:rsidRPr="00780D2B">
        <w:rPr>
          <w:rFonts w:ascii="Arial" w:eastAsia="Arial" w:hAnsi="Arial" w:cs="Arial"/>
          <w:i/>
          <w:iCs/>
        </w:rPr>
        <w:lastRenderedPageBreak/>
        <w:tab/>
        <w:t>The Terza Torre Structural Array</w:t>
      </w:r>
    </w:p>
    <w:p w14:paraId="5D9B39BC" w14:textId="77777777" w:rsidR="007D17B2" w:rsidRPr="00780D2B" w:rsidRDefault="00000000">
      <w:pPr>
        <w:spacing w:after="0" w:line="480" w:lineRule="auto"/>
        <w:jc w:val="both"/>
        <w:rPr>
          <w:rFonts w:ascii="Arial" w:eastAsia="Arial" w:hAnsi="Arial" w:cs="Arial"/>
          <w:sz w:val="24"/>
          <w:szCs w:val="24"/>
        </w:rPr>
      </w:pPr>
      <w:r w:rsidRPr="00780D2B">
        <w:rPr>
          <w:rFonts w:ascii="Arial" w:eastAsia="Arial" w:hAnsi="Arial" w:cs="Arial"/>
          <w:sz w:val="24"/>
          <w:szCs w:val="24"/>
        </w:rPr>
        <w:t xml:space="preserve">The “L1” monitoring network, dedicated to the Terza Torre building, was deployed on March 28, 2023, and remains operational as of the end of 2025. It consists of eight three-component seismic stations based on compact, low-power </w:t>
      </w:r>
      <w:proofErr w:type="spellStart"/>
      <w:r w:rsidRPr="00780D2B">
        <w:rPr>
          <w:rFonts w:ascii="Arial" w:eastAsia="Arial" w:hAnsi="Arial" w:cs="Arial"/>
          <w:sz w:val="24"/>
          <w:szCs w:val="24"/>
        </w:rPr>
        <w:t>Lunitek</w:t>
      </w:r>
      <w:proofErr w:type="spellEnd"/>
      <w:r w:rsidRPr="00780D2B">
        <w:rPr>
          <w:rFonts w:ascii="Arial" w:eastAsia="Arial" w:hAnsi="Arial" w:cs="Arial"/>
          <w:sz w:val="24"/>
          <w:szCs w:val="24"/>
        </w:rPr>
        <w:t xml:space="preserve"> Sentinel GEO units. Each station integrates a short-period triaxial velocimeter (EHE/EHN/EHZ components) and a MEMS triaxial accelerometer (HNE/HNN/HNZ components), combined with a digitizer, internal memory, and LTE-based transmission module. This coupled configuration ensures high sensitivity to low-amplitude signals and prevents saturation during strong shaking, covering a wide dynamic range essential for both ambient vibration and strong-motion monitoring.</w:t>
      </w:r>
    </w:p>
    <w:p w14:paraId="2702D37D" w14:textId="77777777" w:rsidR="007D17B2" w:rsidRPr="00780D2B" w:rsidRDefault="00000000">
      <w:pPr>
        <w:spacing w:after="0" w:line="480" w:lineRule="auto"/>
        <w:jc w:val="both"/>
        <w:rPr>
          <w:rFonts w:ascii="Arial" w:eastAsia="Arial" w:hAnsi="Arial" w:cs="Arial"/>
          <w:sz w:val="24"/>
          <w:szCs w:val="24"/>
        </w:rPr>
      </w:pPr>
      <w:r w:rsidRPr="00780D2B">
        <w:rPr>
          <w:rFonts w:ascii="Arial" w:eastAsia="Arial" w:hAnsi="Arial" w:cs="Arial"/>
          <w:sz w:val="24"/>
          <w:szCs w:val="24"/>
        </w:rPr>
        <w:t>The sensor layout was designed to support detailed building characterization and wave propagation studies along the structure’s height. Six stations were installed on terraces along the eastern façade of Tower A at the 1st (RE001), 5th (RE002), 8th (RE003), 12th (RE004), 15th (RE005) and 19th floor (RE006). One additional sensor (RE007) was placed on the upper terrace (3rd floor) of Tower B, while the RE008 station was installed at the second basement level of the same tower, serving as a reference for input motion. All sensors were aligned such that the east-west horizontal components (EHE and HNE) match the longitudinal axis of the building, ensuring consistency across stations and enabling a direct interpretation of the recordings in terms of the building’s dynamic behavior.</w:t>
      </w:r>
    </w:p>
    <w:p w14:paraId="3278355B" w14:textId="77777777" w:rsidR="007D17B2" w:rsidRPr="00780D2B" w:rsidRDefault="00000000">
      <w:pPr>
        <w:spacing w:after="0" w:line="480" w:lineRule="auto"/>
        <w:jc w:val="both"/>
        <w:rPr>
          <w:rFonts w:ascii="Arial" w:eastAsia="Arial" w:hAnsi="Arial" w:cs="Arial"/>
          <w:sz w:val="24"/>
          <w:szCs w:val="24"/>
        </w:rPr>
      </w:pPr>
      <w:r w:rsidRPr="00780D2B">
        <w:rPr>
          <w:rFonts w:ascii="Arial" w:eastAsia="Arial" w:hAnsi="Arial" w:cs="Arial"/>
          <w:sz w:val="24"/>
          <w:szCs w:val="24"/>
        </w:rPr>
        <w:t xml:space="preserve">The sampling frequency was progressively optimized during the first months of operation. Initially set at 125 Hz, it was increased to 200 Hz on April 26, 2023, for system testing, and finally configured to 250 Hz on August 30, 2023. This final setting was selected to </w:t>
      </w:r>
      <w:r w:rsidRPr="00780D2B">
        <w:rPr>
          <w:rFonts w:ascii="Arial" w:eastAsia="Arial" w:hAnsi="Arial" w:cs="Arial"/>
          <w:sz w:val="24"/>
          <w:szCs w:val="24"/>
        </w:rPr>
        <w:lastRenderedPageBreak/>
        <w:t xml:space="preserve">ensure adequate time resolution for both low-frequency modal behavior and higher-frequency transients associated with local events or structural resonances. Data is continuously recorded on local SD cards and transmitted in real time via </w:t>
      </w:r>
      <w:proofErr w:type="spellStart"/>
      <w:r w:rsidRPr="00780D2B">
        <w:rPr>
          <w:rFonts w:ascii="Arial" w:eastAsia="Arial" w:hAnsi="Arial" w:cs="Arial"/>
          <w:sz w:val="24"/>
          <w:szCs w:val="24"/>
        </w:rPr>
        <w:t>SeedLink</w:t>
      </w:r>
      <w:proofErr w:type="spellEnd"/>
      <w:r w:rsidRPr="00780D2B">
        <w:rPr>
          <w:rFonts w:ascii="Arial" w:eastAsia="Arial" w:hAnsi="Arial" w:cs="Arial"/>
          <w:sz w:val="24"/>
          <w:szCs w:val="24"/>
        </w:rPr>
        <w:t xml:space="preserve"> protocol through a VPN connection. Centralized acquisition is managed by a </w:t>
      </w:r>
      <w:proofErr w:type="spellStart"/>
      <w:r w:rsidRPr="00780D2B">
        <w:rPr>
          <w:rFonts w:ascii="Arial" w:eastAsia="Arial" w:hAnsi="Arial" w:cs="Arial"/>
          <w:sz w:val="24"/>
          <w:szCs w:val="24"/>
        </w:rPr>
        <w:t>SeisComP</w:t>
      </w:r>
      <w:proofErr w:type="spellEnd"/>
      <w:r w:rsidRPr="00780D2B">
        <w:rPr>
          <w:rFonts w:ascii="Arial" w:eastAsia="Arial" w:hAnsi="Arial" w:cs="Arial"/>
          <w:sz w:val="24"/>
          <w:szCs w:val="24"/>
        </w:rPr>
        <w:t xml:space="preserve"> server installed at the CRS of the OGS in Udine, Italy. The CRS facility serves as the main hub for the acquisition and processing of real-time seismic and geodetic data in northeastern Italy. </w:t>
      </w:r>
    </w:p>
    <w:p w14:paraId="48A3C0D2" w14:textId="77777777" w:rsidR="007D17B2" w:rsidRPr="00780D2B" w:rsidRDefault="007D17B2">
      <w:pPr>
        <w:pBdr>
          <w:top w:val="nil"/>
          <w:left w:val="nil"/>
          <w:bottom w:val="nil"/>
          <w:right w:val="nil"/>
          <w:between w:val="nil"/>
        </w:pBdr>
        <w:spacing w:after="0" w:line="480" w:lineRule="auto"/>
        <w:jc w:val="both"/>
        <w:rPr>
          <w:rFonts w:ascii="Arial" w:eastAsia="Arial" w:hAnsi="Arial" w:cs="Arial"/>
          <w:sz w:val="24"/>
          <w:szCs w:val="24"/>
        </w:rPr>
      </w:pPr>
    </w:p>
    <w:p w14:paraId="4D290D2F" w14:textId="77777777" w:rsidR="007D17B2" w:rsidRPr="00780D2B" w:rsidRDefault="00000000">
      <w:pPr>
        <w:pBdr>
          <w:top w:val="nil"/>
          <w:left w:val="nil"/>
          <w:bottom w:val="nil"/>
          <w:right w:val="nil"/>
          <w:between w:val="nil"/>
        </w:pBdr>
        <w:spacing w:after="0" w:line="480" w:lineRule="auto"/>
        <w:jc w:val="both"/>
        <w:rPr>
          <w:rFonts w:ascii="Arial" w:eastAsia="Arial" w:hAnsi="Arial" w:cs="Arial"/>
          <w:sz w:val="24"/>
          <w:szCs w:val="24"/>
        </w:rPr>
      </w:pPr>
      <w:r w:rsidRPr="00780D2B">
        <w:rPr>
          <w:rFonts w:ascii="Arial" w:eastAsia="Arial" w:hAnsi="Arial" w:cs="Arial"/>
          <w:noProof/>
          <w:sz w:val="24"/>
          <w:szCs w:val="24"/>
        </w:rPr>
        <w:lastRenderedPageBreak/>
        <w:drawing>
          <wp:inline distT="0" distB="0" distL="0" distR="0" wp14:anchorId="0C0E1CF5" wp14:editId="14799DAD">
            <wp:extent cx="6086475" cy="5691505"/>
            <wp:effectExtent l="0" t="0" r="0" b="0"/>
            <wp:docPr id="1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4"/>
                    <a:srcRect l="394" r="394"/>
                    <a:stretch>
                      <a:fillRect/>
                    </a:stretch>
                  </pic:blipFill>
                  <pic:spPr>
                    <a:xfrm>
                      <a:off x="0" y="0"/>
                      <a:ext cx="6086475" cy="5691505"/>
                    </a:xfrm>
                    <a:prstGeom prst="rect">
                      <a:avLst/>
                    </a:prstGeom>
                    <a:ln/>
                  </pic:spPr>
                </pic:pic>
              </a:graphicData>
            </a:graphic>
          </wp:inline>
        </w:drawing>
      </w:r>
    </w:p>
    <w:p w14:paraId="3AEB9632" w14:textId="77777777" w:rsidR="007D17B2" w:rsidRPr="00780D2B" w:rsidRDefault="00000000">
      <w:pPr>
        <w:pBdr>
          <w:top w:val="nil"/>
          <w:left w:val="nil"/>
          <w:bottom w:val="nil"/>
          <w:right w:val="nil"/>
          <w:between w:val="nil"/>
        </w:pBdr>
        <w:spacing w:after="240" w:line="480" w:lineRule="auto"/>
        <w:jc w:val="both"/>
        <w:rPr>
          <w:rFonts w:ascii="Arial" w:eastAsia="Arial" w:hAnsi="Arial" w:cs="Arial"/>
          <w:b/>
          <w:bCs/>
          <w:i/>
          <w:iCs/>
          <w:color w:val="000000"/>
          <w:sz w:val="24"/>
          <w:szCs w:val="24"/>
        </w:rPr>
      </w:pPr>
      <w:r w:rsidRPr="00780D2B">
        <w:rPr>
          <w:rFonts w:ascii="Arial" w:eastAsia="Arial" w:hAnsi="Arial" w:cs="Arial"/>
          <w:b/>
          <w:bCs/>
          <w:i/>
          <w:iCs/>
          <w:color w:val="000000"/>
          <w:sz w:val="24"/>
          <w:szCs w:val="24"/>
        </w:rPr>
        <w:t>Figure 2.</w:t>
      </w:r>
      <w:r w:rsidRPr="00780D2B">
        <w:rPr>
          <w:rFonts w:ascii="Arial" w:eastAsia="Arial" w:hAnsi="Arial" w:cs="Arial"/>
          <w:i/>
          <w:iCs/>
          <w:color w:val="000000"/>
          <w:sz w:val="24"/>
          <w:szCs w:val="24"/>
        </w:rPr>
        <w:t xml:space="preserve"> </w:t>
      </w:r>
      <w:r w:rsidRPr="00780D2B">
        <w:rPr>
          <w:rFonts w:ascii="Arial" w:eastAsia="Arial" w:hAnsi="Arial" w:cs="Arial"/>
          <w:i/>
          <w:iCs/>
          <w:sz w:val="24"/>
          <w:szCs w:val="24"/>
        </w:rPr>
        <w:t xml:space="preserve">Layout of the Terza Torre monitoring system, including both the on-building seismic array and the borehole station. a) External views from the East and South sides showing Towers A and B of the Terza Torre building, with the vertical distribution of sensors indicated by black triangles and grey horizontal line showing the ground level; b) Configuration of the borehole station, hosting sensors RERI.01 (at surface) and RERI.00 (in well); c)-f) Floor plans of the Terza Torre building showing sensor positions (blue </w:t>
      </w:r>
      <w:r w:rsidRPr="00780D2B">
        <w:rPr>
          <w:rFonts w:ascii="Arial" w:eastAsia="Arial" w:hAnsi="Arial" w:cs="Arial"/>
          <w:i/>
          <w:iCs/>
          <w:sz w:val="24"/>
          <w:szCs w:val="24"/>
        </w:rPr>
        <w:lastRenderedPageBreak/>
        <w:t>markers); the black arrow marks the geographic North. The color version of this figure is available only in the electronic edition.</w:t>
      </w:r>
    </w:p>
    <w:p w14:paraId="7AEDD8FF" w14:textId="77777777" w:rsidR="007D17B2" w:rsidRPr="00780D2B" w:rsidRDefault="00000000">
      <w:pPr>
        <w:pBdr>
          <w:top w:val="nil"/>
          <w:left w:val="nil"/>
          <w:bottom w:val="nil"/>
          <w:right w:val="nil"/>
          <w:between w:val="nil"/>
        </w:pBdr>
        <w:spacing w:after="360" w:line="480" w:lineRule="auto"/>
        <w:jc w:val="both"/>
        <w:rPr>
          <w:rFonts w:ascii="Arial" w:eastAsia="Arial" w:hAnsi="Arial" w:cs="Arial"/>
          <w:i/>
          <w:iCs/>
          <w:color w:val="000000"/>
          <w:sz w:val="24"/>
          <w:szCs w:val="24"/>
        </w:rPr>
      </w:pPr>
      <w:r w:rsidRPr="00780D2B">
        <w:rPr>
          <w:rFonts w:ascii="Arial" w:eastAsia="Arial" w:hAnsi="Arial" w:cs="Arial"/>
          <w:i/>
          <w:iCs/>
          <w:color w:val="000000"/>
          <w:sz w:val="24"/>
          <w:szCs w:val="24"/>
        </w:rPr>
        <w:t>[Alt Text: A schematic layout of the building, shown from the East and from the South, and of the borehole, with the position of the sensors marked, and additional layouts for individual floors at which instruments are installed.]</w:t>
      </w:r>
    </w:p>
    <w:p w14:paraId="11AAB0DE" w14:textId="77777777" w:rsidR="007D17B2" w:rsidRPr="00780D2B" w:rsidRDefault="00000000">
      <w:pPr>
        <w:pStyle w:val="Titolo2"/>
        <w:spacing w:line="480" w:lineRule="auto"/>
        <w:rPr>
          <w:rFonts w:ascii="Arial" w:eastAsia="Arial" w:hAnsi="Arial" w:cs="Arial"/>
          <w:i/>
          <w:iCs/>
        </w:rPr>
      </w:pPr>
      <w:bookmarkStart w:id="11" w:name="_heading=h.leja715umg7w" w:colFirst="0" w:colLast="0"/>
      <w:bookmarkEnd w:id="11"/>
      <w:r w:rsidRPr="00780D2B">
        <w:rPr>
          <w:rFonts w:ascii="Arial" w:eastAsia="Arial" w:hAnsi="Arial" w:cs="Arial"/>
          <w:i/>
          <w:iCs/>
        </w:rPr>
        <w:tab/>
        <w:t>The RERI Borehole Station</w:t>
      </w:r>
    </w:p>
    <w:p w14:paraId="5C4FDC6F" w14:textId="39DC02B0" w:rsidR="007D17B2" w:rsidRPr="00780D2B" w:rsidRDefault="00000000">
      <w:pPr>
        <w:spacing w:before="240" w:after="240" w:line="480" w:lineRule="auto"/>
        <w:jc w:val="both"/>
        <w:rPr>
          <w:rFonts w:ascii="Arial" w:eastAsia="Arial" w:hAnsi="Arial" w:cs="Arial"/>
          <w:sz w:val="24"/>
          <w:szCs w:val="24"/>
        </w:rPr>
      </w:pPr>
      <w:r w:rsidRPr="00780D2B">
        <w:rPr>
          <w:rFonts w:ascii="Arial" w:eastAsia="Arial" w:hAnsi="Arial" w:cs="Arial"/>
          <w:sz w:val="24"/>
          <w:szCs w:val="24"/>
        </w:rPr>
        <w:t>To complement the seismic monitoring of the Terza Torre building, a permanent borehole station (code RERI), consisting of one sensor on the surface and one sensor in well, was installed approximately 20 meters from the main structure, on the edge of the overlooking Kenzo Tange public garden. The RERI station is part of the permanent OX network, managed by CRS as part of the Northeastern Italy Seismic and Deformation Network (SMINO; Bragato et al., 2021), which includes hundreds of stations across the Friuli Venezia Giulia and Veneto regions, integrating seismic, strong-motion, and GNSS sensors for civil protection and scientific purposes. In contrast, the on-building structural array (network code L1) is operated independently and not integrated into the OX registry. The combination of L1 and OX.RERI provides a hybrid monitoring infrastructure</w:t>
      </w:r>
      <w:r w:rsidR="000C6440" w:rsidRPr="00780D2B">
        <w:rPr>
          <w:rFonts w:ascii="Arial" w:eastAsia="Arial" w:hAnsi="Arial" w:cs="Arial"/>
          <w:sz w:val="24"/>
          <w:szCs w:val="24"/>
        </w:rPr>
        <w:t xml:space="preserve"> </w:t>
      </w:r>
      <w:r w:rsidR="00266E6C" w:rsidRPr="00780D2B">
        <w:rPr>
          <w:rFonts w:ascii="Arial" w:eastAsia="Arial" w:hAnsi="Arial" w:cs="Arial"/>
          <w:sz w:val="24"/>
          <w:szCs w:val="24"/>
        </w:rPr>
        <w:t xml:space="preserve">designed </w:t>
      </w:r>
      <w:r w:rsidRPr="00780D2B">
        <w:rPr>
          <w:rFonts w:ascii="Arial" w:eastAsia="Arial" w:hAnsi="Arial" w:cs="Arial"/>
          <w:sz w:val="24"/>
          <w:szCs w:val="24"/>
        </w:rPr>
        <w:t>for investigating the building’s dynamic behavior, the site shaking</w:t>
      </w:r>
      <w:r w:rsidR="00266E6C" w:rsidRPr="00780D2B">
        <w:rPr>
          <w:rFonts w:ascii="Arial" w:eastAsia="Arial" w:hAnsi="Arial" w:cs="Arial"/>
          <w:sz w:val="24"/>
          <w:szCs w:val="24"/>
        </w:rPr>
        <w:t xml:space="preserve"> and the soil-structure system</w:t>
      </w:r>
      <w:r w:rsidRPr="00780D2B">
        <w:rPr>
          <w:rFonts w:ascii="Arial" w:eastAsia="Arial" w:hAnsi="Arial" w:cs="Arial"/>
          <w:sz w:val="24"/>
          <w:szCs w:val="24"/>
        </w:rPr>
        <w:t>.</w:t>
      </w:r>
    </w:p>
    <w:p w14:paraId="7EC87978" w14:textId="77777777" w:rsidR="007D17B2" w:rsidRPr="00780D2B" w:rsidRDefault="00000000">
      <w:pPr>
        <w:spacing w:before="240" w:after="240" w:line="480" w:lineRule="auto"/>
        <w:jc w:val="both"/>
        <w:rPr>
          <w:rFonts w:ascii="Arial" w:eastAsia="Arial" w:hAnsi="Arial" w:cs="Arial"/>
          <w:sz w:val="24"/>
          <w:szCs w:val="24"/>
        </w:rPr>
      </w:pPr>
      <w:r w:rsidRPr="00780D2B">
        <w:rPr>
          <w:rFonts w:ascii="Arial" w:eastAsia="Arial" w:hAnsi="Arial" w:cs="Arial"/>
          <w:sz w:val="24"/>
          <w:szCs w:val="24"/>
        </w:rPr>
        <w:t xml:space="preserve">The 50-meter-deep borehole (elevation 43 m </w:t>
      </w:r>
      <w:proofErr w:type="spellStart"/>
      <w:r w:rsidRPr="00780D2B">
        <w:rPr>
          <w:rFonts w:ascii="Arial" w:eastAsia="Arial" w:hAnsi="Arial" w:cs="Arial"/>
          <w:sz w:val="24"/>
          <w:szCs w:val="24"/>
        </w:rPr>
        <w:t>a.s.l</w:t>
      </w:r>
      <w:proofErr w:type="spellEnd"/>
      <w:r w:rsidRPr="00780D2B">
        <w:rPr>
          <w:rFonts w:ascii="Arial" w:eastAsia="Arial" w:hAnsi="Arial" w:cs="Arial"/>
          <w:sz w:val="24"/>
          <w:szCs w:val="24"/>
        </w:rPr>
        <w:t>.) was drilled using rotary methods with bentonite muds and lined with 4” PVC casing, cemented in place to prevent fluid migration and ensure solid coupling between sensor and formation.</w:t>
      </w:r>
    </w:p>
    <w:p w14:paraId="6BE8E70E" w14:textId="77777777" w:rsidR="007D17B2" w:rsidRPr="00780D2B" w:rsidRDefault="00000000">
      <w:pPr>
        <w:spacing w:before="240" w:after="240" w:line="480" w:lineRule="auto"/>
        <w:jc w:val="both"/>
        <w:rPr>
          <w:rFonts w:ascii="Arial" w:eastAsia="Arial" w:hAnsi="Arial" w:cs="Arial"/>
          <w:sz w:val="24"/>
          <w:szCs w:val="24"/>
        </w:rPr>
      </w:pPr>
      <w:r w:rsidRPr="00780D2B">
        <w:rPr>
          <w:rFonts w:ascii="Arial" w:eastAsia="Arial" w:hAnsi="Arial" w:cs="Arial"/>
          <w:sz w:val="24"/>
          <w:szCs w:val="24"/>
        </w:rPr>
        <w:lastRenderedPageBreak/>
        <w:t xml:space="preserve">Two SARA SS05 triaxial short-period velocimeters (0.5-50 Hz) were deployed, one at the surface (location code 01) and one at the bottom of the borehole (location code 00). Both are connected to a 24-bit SL06 digital acquisition system, configured at a sampling frequency of 250 Hz and full scale of 40 V peak-to-peak. The downhole sensor is mechanically anchored to the casing using custom brackets to ensure coupling and preserve depth integrity. Due to the lack of grid access in the park, the station is powered via solar panels and dedicated batteries, with data transmitted in real time to the OGS acquisition server via LTE and </w:t>
      </w:r>
      <w:proofErr w:type="spellStart"/>
      <w:r w:rsidRPr="00780D2B">
        <w:rPr>
          <w:rFonts w:ascii="Arial" w:eastAsia="Arial" w:hAnsi="Arial" w:cs="Arial"/>
          <w:sz w:val="24"/>
          <w:szCs w:val="24"/>
        </w:rPr>
        <w:t>SeedLink</w:t>
      </w:r>
      <w:proofErr w:type="spellEnd"/>
      <w:r w:rsidRPr="00780D2B">
        <w:rPr>
          <w:rFonts w:ascii="Arial" w:eastAsia="Arial" w:hAnsi="Arial" w:cs="Arial"/>
          <w:sz w:val="24"/>
          <w:szCs w:val="24"/>
        </w:rPr>
        <w:t xml:space="preserve"> protocol.</w:t>
      </w:r>
    </w:p>
    <w:p w14:paraId="60F4E4AB" w14:textId="77777777" w:rsidR="007D17B2" w:rsidRPr="00780D2B" w:rsidRDefault="00000000">
      <w:pPr>
        <w:spacing w:before="240" w:after="240" w:line="480" w:lineRule="auto"/>
        <w:jc w:val="both"/>
        <w:rPr>
          <w:rFonts w:ascii="Arial" w:eastAsia="Arial" w:hAnsi="Arial" w:cs="Arial"/>
          <w:sz w:val="24"/>
          <w:szCs w:val="24"/>
        </w:rPr>
      </w:pPr>
      <w:r w:rsidRPr="00780D2B">
        <w:rPr>
          <w:rFonts w:ascii="Arial" w:eastAsia="Arial" w:hAnsi="Arial" w:cs="Arial"/>
          <w:sz w:val="24"/>
          <w:szCs w:val="24"/>
        </w:rPr>
        <w:t>A preliminary lithostratigraphic profile was derived during drilling, based on visual inspection of cuttings. The stratigraphy shows alternating clay layers, sometimes silty, with variable sand and gravel beds that become finer with depth. No sharp impedance contrasts were identified within the 0-50 m interval that could produce significant site resonance. This interpretation is consistent with previous direct (e.g., cone penetration testing, boreholes) and indirect investigations (e.g., multichannel analysis of surface waves, horizontal-to-vertical spectral ratio) performed in nearby areas, which indicate similar stratigraphic profiles in the upper tens of meters.</w:t>
      </w:r>
    </w:p>
    <w:p w14:paraId="2DF55335" w14:textId="77777777" w:rsidR="007D17B2" w:rsidRPr="00780D2B" w:rsidRDefault="00000000">
      <w:pPr>
        <w:pStyle w:val="Titolo1"/>
        <w:spacing w:line="480" w:lineRule="auto"/>
        <w:rPr>
          <w:rFonts w:ascii="Arial" w:eastAsia="Arial" w:hAnsi="Arial" w:cs="Arial"/>
        </w:rPr>
      </w:pPr>
      <w:bookmarkStart w:id="12" w:name="_heading=h.obp3bc87jg4f" w:colFirst="0" w:colLast="0"/>
      <w:bookmarkEnd w:id="12"/>
      <w:r w:rsidRPr="00780D2B">
        <w:rPr>
          <w:rFonts w:ascii="Arial" w:eastAsia="Arial" w:hAnsi="Arial" w:cs="Arial"/>
        </w:rPr>
        <w:t>Overall data quality and availability</w:t>
      </w:r>
    </w:p>
    <w:p w14:paraId="3785DEFD" w14:textId="77777777" w:rsidR="007D17B2" w:rsidRPr="00780D2B" w:rsidRDefault="00000000">
      <w:pPr>
        <w:spacing w:line="480" w:lineRule="auto"/>
        <w:jc w:val="both"/>
        <w:rPr>
          <w:rFonts w:ascii="Arial" w:eastAsia="Arial" w:hAnsi="Arial" w:cs="Arial"/>
          <w:sz w:val="24"/>
          <w:szCs w:val="24"/>
        </w:rPr>
      </w:pPr>
      <w:r w:rsidRPr="00780D2B">
        <w:rPr>
          <w:rFonts w:ascii="Arial" w:eastAsia="Arial" w:hAnsi="Arial" w:cs="Arial"/>
          <w:sz w:val="24"/>
          <w:szCs w:val="24"/>
        </w:rPr>
        <w:t xml:space="preserve">Seismic data acquisition began on 28 March 2023 for the on-building array and on 13 September 2023 for the RERI borehole station. Throughout the monitoring period, the system was manually checked on a weekly basis, with daily inspections during periods of increased seismic activity. In cases of temporary communication loss between sensors </w:t>
      </w:r>
      <w:r w:rsidRPr="00780D2B">
        <w:rPr>
          <w:rFonts w:ascii="Arial" w:eastAsia="Arial" w:hAnsi="Arial" w:cs="Arial"/>
          <w:sz w:val="24"/>
          <w:szCs w:val="24"/>
        </w:rPr>
        <w:lastRenderedPageBreak/>
        <w:t>and the central server, efforts were made to recover missing data manually from local storage.</w:t>
      </w:r>
    </w:p>
    <w:p w14:paraId="25C8555F" w14:textId="77777777" w:rsidR="007D17B2" w:rsidRPr="00780D2B" w:rsidRDefault="00000000">
      <w:pPr>
        <w:spacing w:line="480" w:lineRule="auto"/>
        <w:jc w:val="both"/>
        <w:rPr>
          <w:rFonts w:ascii="Arial" w:eastAsia="Arial" w:hAnsi="Arial" w:cs="Arial"/>
          <w:sz w:val="24"/>
          <w:szCs w:val="24"/>
        </w:rPr>
      </w:pPr>
      <w:r w:rsidRPr="00780D2B">
        <w:rPr>
          <w:rFonts w:ascii="Arial" w:eastAsia="Arial" w:hAnsi="Arial" w:cs="Arial"/>
          <w:sz w:val="24"/>
          <w:szCs w:val="24"/>
        </w:rPr>
        <w:t>Sensors located in the building have relatively larger seismic background noise levels with respect to the borehole sensors. The noise levels of the sensors in the building are close to the new high noise model defined by Peterson (1993) and have a linear increasing trend for periods longer than 2 s, with consistent exceedance of the Peterson model for periods longer than 5 s (i.e., for frequencies below 0.2 Hz). Borehole sensors have the same trend for periods longer than 15 s (see Supplemental Material, Figure S1).</w:t>
      </w:r>
    </w:p>
    <w:p w14:paraId="117FDF9A" w14:textId="151C70CD" w:rsidR="007D17B2" w:rsidRPr="00780D2B" w:rsidRDefault="00BB5034">
      <w:pPr>
        <w:spacing w:line="480" w:lineRule="auto"/>
        <w:jc w:val="both"/>
        <w:rPr>
          <w:rFonts w:ascii="Arial" w:eastAsia="Arial" w:hAnsi="Arial" w:cs="Arial"/>
          <w:sz w:val="24"/>
          <w:szCs w:val="24"/>
        </w:rPr>
      </w:pPr>
      <w:r w:rsidRPr="00780D2B">
        <w:rPr>
          <w:rFonts w:ascii="Arial" w:eastAsia="Arial" w:hAnsi="Arial" w:cs="Arial"/>
          <w:sz w:val="24"/>
          <w:szCs w:val="24"/>
        </w:rPr>
        <w:t>Between March 2023 and July 2025, the region surrounding the Terza Torre monitoring site experienced hundreds of earthquakes in the range ML 1.0 - 4.8. We compiled an event dataset consisting of the waveforms recorded by the Terza Torre monitoring network for a selection of 30 earthquakes with local magnitude ML ≥ 3.0, which occurred within 80 km from the site (Table 2 and Figure 3; see Data and Resources). Event hypocenters and magnitudes are taken from the INGV national seismic catalog (see Data and Resources). The magnitude and hypocentral distance constraints were applied to avoid smaller events (ML&lt;3.0) which are often not clearly identifiable in the recordings due to the elevated background noise in the urban environment of Bologna. Moreover, we excluded clustered events that occurred too close in time, for which the noise and/or signal windows would be contaminated by the waveforms generated by other events (see Data and Resources).</w:t>
      </w:r>
    </w:p>
    <w:p w14:paraId="71B1D25C" w14:textId="77777777" w:rsidR="007D17B2" w:rsidRPr="00780D2B" w:rsidRDefault="00000000">
      <w:pPr>
        <w:spacing w:line="480" w:lineRule="auto"/>
        <w:jc w:val="both"/>
        <w:rPr>
          <w:rFonts w:ascii="Arial" w:eastAsia="Arial" w:hAnsi="Arial" w:cs="Arial"/>
          <w:sz w:val="24"/>
          <w:szCs w:val="24"/>
        </w:rPr>
      </w:pPr>
      <w:r w:rsidRPr="00780D2B">
        <w:rPr>
          <w:rFonts w:ascii="Arial" w:eastAsia="Arial" w:hAnsi="Arial" w:cs="Arial"/>
          <w:sz w:val="24"/>
          <w:szCs w:val="24"/>
        </w:rPr>
        <w:t xml:space="preserve">For each event, waveforms were cut using theoretical P-wave arrivals, starting 30 s before and ending 80 s after the arrival time. Instrumental response metadata are provided for each waveform to enable correction and conversion into physical units. The </w:t>
      </w:r>
      <w:r w:rsidRPr="00780D2B">
        <w:rPr>
          <w:rFonts w:ascii="Arial" w:eastAsia="Arial" w:hAnsi="Arial" w:cs="Arial"/>
          <w:sz w:val="24"/>
          <w:szCs w:val="24"/>
        </w:rPr>
        <w:lastRenderedPageBreak/>
        <w:t>dataset includes both raw and processed recordings and will be made available following a two-year embargo period from the publication of the article (see Data and Resources). Three continuous 24-hour recordings (on 18 September 2023, 28 October 2023 and 1 January 2025) are also included to provide reference examples of pre-event and background ambient noise. Recording coverage for the event dataset across stations is generally high, despite occasional malfunctioning, as documented in Figure 4.</w:t>
      </w:r>
    </w:p>
    <w:p w14:paraId="4DE01532" w14:textId="77777777" w:rsidR="007D17B2" w:rsidRPr="00780D2B" w:rsidRDefault="00000000">
      <w:pPr>
        <w:spacing w:line="480" w:lineRule="auto"/>
        <w:jc w:val="both"/>
        <w:rPr>
          <w:rFonts w:ascii="Arial" w:eastAsia="Arial" w:hAnsi="Arial" w:cs="Arial"/>
          <w:i/>
          <w:iCs/>
          <w:sz w:val="24"/>
          <w:szCs w:val="24"/>
        </w:rPr>
      </w:pPr>
      <w:r w:rsidRPr="00780D2B">
        <w:rPr>
          <w:rFonts w:ascii="Arial" w:eastAsia="Arial" w:hAnsi="Arial" w:cs="Arial"/>
          <w:b/>
          <w:bCs/>
          <w:i/>
          <w:iCs/>
          <w:sz w:val="24"/>
          <w:szCs w:val="24"/>
        </w:rPr>
        <w:t>Table 2.</w:t>
      </w:r>
      <w:sdt>
        <w:sdtPr>
          <w:tag w:val="goog_rdk_1"/>
          <w:id w:val="-1897040396"/>
        </w:sdtPr>
        <w:sdtContent>
          <w:r w:rsidRPr="00780D2B">
            <w:rPr>
              <w:rFonts w:ascii="Arial Unicode MS" w:eastAsia="Arial Unicode MS" w:hAnsi="Arial Unicode MS" w:cs="Arial Unicode MS"/>
              <w:i/>
              <w:iCs/>
              <w:sz w:val="24"/>
              <w:szCs w:val="24"/>
            </w:rPr>
            <w:t xml:space="preserve"> List of the 30 seismic events with local magnitude ML ≥ 3.0 that occurred between March 2023 and March 2025 within 80 km epicentral distance from the Terza Torre building. Event parameters (origin time, location, hypocentral depth, and magnitude) are taken from the INGV catalog (see Data and Resources).</w:t>
          </w:r>
        </w:sdtContent>
      </w:sdt>
    </w:p>
    <w:tbl>
      <w:tblPr>
        <w:tblStyle w:val="a2"/>
        <w:tblW w:w="6478"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97"/>
        <w:gridCol w:w="2551"/>
        <w:gridCol w:w="1644"/>
        <w:gridCol w:w="1361"/>
        <w:gridCol w:w="525"/>
      </w:tblGrid>
      <w:tr w:rsidR="007D17B2" w:rsidRPr="00780D2B" w14:paraId="217AB61E" w14:textId="77777777">
        <w:trPr>
          <w:trHeight w:val="285"/>
        </w:trPr>
        <w:tc>
          <w:tcPr>
            <w:tcW w:w="397" w:type="dxa"/>
            <w:tcBorders>
              <w:top w:val="nil"/>
              <w:left w:val="nil"/>
              <w:bottom w:val="single" w:sz="6" w:space="0" w:color="000000"/>
              <w:right w:val="single" w:sz="6" w:space="0" w:color="000000"/>
            </w:tcBorders>
            <w:tcMar>
              <w:top w:w="0" w:type="dxa"/>
              <w:left w:w="20" w:type="dxa"/>
              <w:bottom w:w="0" w:type="dxa"/>
              <w:right w:w="20" w:type="dxa"/>
            </w:tcMar>
          </w:tcPr>
          <w:p w14:paraId="289A1015" w14:textId="77777777" w:rsidR="007D17B2" w:rsidRPr="00780D2B" w:rsidRDefault="00000000">
            <w:pPr>
              <w:spacing w:after="0" w:line="276" w:lineRule="auto"/>
              <w:jc w:val="both"/>
              <w:rPr>
                <w:rFonts w:ascii="Arial" w:eastAsia="Arial" w:hAnsi="Arial" w:cs="Arial"/>
                <w:b/>
                <w:bCs/>
                <w:sz w:val="24"/>
                <w:szCs w:val="24"/>
              </w:rPr>
            </w:pPr>
            <w:r w:rsidRPr="00780D2B">
              <w:rPr>
                <w:rFonts w:ascii="Arial" w:eastAsia="Arial" w:hAnsi="Arial" w:cs="Arial"/>
                <w:b/>
                <w:bCs/>
                <w:sz w:val="24"/>
                <w:szCs w:val="24"/>
              </w:rPr>
              <w:t>ID</w:t>
            </w:r>
          </w:p>
        </w:tc>
        <w:tc>
          <w:tcPr>
            <w:tcW w:w="2551" w:type="dxa"/>
            <w:tcBorders>
              <w:top w:val="nil"/>
              <w:left w:val="nil"/>
              <w:bottom w:val="single" w:sz="6" w:space="0" w:color="000000"/>
              <w:right w:val="nil"/>
            </w:tcBorders>
            <w:tcMar>
              <w:top w:w="0" w:type="dxa"/>
              <w:left w:w="20" w:type="dxa"/>
              <w:bottom w:w="0" w:type="dxa"/>
              <w:right w:w="20" w:type="dxa"/>
            </w:tcMar>
          </w:tcPr>
          <w:p w14:paraId="3967C534" w14:textId="77777777" w:rsidR="007D17B2" w:rsidRPr="00780D2B" w:rsidRDefault="00000000">
            <w:pPr>
              <w:spacing w:after="0" w:line="276" w:lineRule="auto"/>
              <w:jc w:val="both"/>
              <w:rPr>
                <w:rFonts w:ascii="Arial" w:eastAsia="Arial" w:hAnsi="Arial" w:cs="Arial"/>
                <w:b/>
                <w:bCs/>
                <w:sz w:val="24"/>
                <w:szCs w:val="24"/>
              </w:rPr>
            </w:pPr>
            <w:r w:rsidRPr="00780D2B">
              <w:rPr>
                <w:rFonts w:ascii="Arial" w:eastAsia="Arial" w:hAnsi="Arial" w:cs="Arial"/>
                <w:b/>
                <w:bCs/>
                <w:sz w:val="24"/>
                <w:szCs w:val="24"/>
              </w:rPr>
              <w:t>Origin time (UTC)</w:t>
            </w:r>
          </w:p>
        </w:tc>
        <w:tc>
          <w:tcPr>
            <w:tcW w:w="1644" w:type="dxa"/>
            <w:tcBorders>
              <w:top w:val="nil"/>
              <w:left w:val="nil"/>
              <w:bottom w:val="single" w:sz="6" w:space="0" w:color="000000"/>
              <w:right w:val="nil"/>
            </w:tcBorders>
            <w:tcMar>
              <w:top w:w="0" w:type="dxa"/>
              <w:left w:w="20" w:type="dxa"/>
              <w:bottom w:w="0" w:type="dxa"/>
              <w:right w:w="20" w:type="dxa"/>
            </w:tcMar>
          </w:tcPr>
          <w:p w14:paraId="5D0531FB" w14:textId="77777777" w:rsidR="007D17B2" w:rsidRPr="00780D2B" w:rsidRDefault="00000000">
            <w:pPr>
              <w:spacing w:after="0" w:line="276" w:lineRule="auto"/>
              <w:jc w:val="both"/>
              <w:rPr>
                <w:rFonts w:ascii="Arial" w:eastAsia="Arial" w:hAnsi="Arial" w:cs="Arial"/>
                <w:b/>
                <w:bCs/>
                <w:sz w:val="24"/>
                <w:szCs w:val="24"/>
              </w:rPr>
            </w:pPr>
            <w:r w:rsidRPr="00780D2B">
              <w:rPr>
                <w:rFonts w:ascii="Arial" w:eastAsia="Arial" w:hAnsi="Arial" w:cs="Arial"/>
                <w:b/>
                <w:bCs/>
                <w:sz w:val="24"/>
                <w:szCs w:val="24"/>
              </w:rPr>
              <w:t>distance (km)</w:t>
            </w:r>
          </w:p>
        </w:tc>
        <w:tc>
          <w:tcPr>
            <w:tcW w:w="1361" w:type="dxa"/>
            <w:tcBorders>
              <w:top w:val="nil"/>
              <w:left w:val="nil"/>
              <w:bottom w:val="single" w:sz="6" w:space="0" w:color="000000"/>
              <w:right w:val="nil"/>
            </w:tcBorders>
            <w:tcMar>
              <w:top w:w="0" w:type="dxa"/>
              <w:left w:w="20" w:type="dxa"/>
              <w:bottom w:w="0" w:type="dxa"/>
              <w:right w:w="20" w:type="dxa"/>
            </w:tcMar>
          </w:tcPr>
          <w:p w14:paraId="2B5B5F13" w14:textId="77777777" w:rsidR="007D17B2" w:rsidRPr="00780D2B" w:rsidRDefault="00000000">
            <w:pPr>
              <w:spacing w:after="0" w:line="276" w:lineRule="auto"/>
              <w:jc w:val="both"/>
              <w:rPr>
                <w:rFonts w:ascii="Arial" w:eastAsia="Arial" w:hAnsi="Arial" w:cs="Arial"/>
                <w:b/>
                <w:bCs/>
                <w:sz w:val="24"/>
                <w:szCs w:val="24"/>
              </w:rPr>
            </w:pPr>
            <w:r w:rsidRPr="00780D2B">
              <w:rPr>
                <w:rFonts w:ascii="Arial" w:eastAsia="Arial" w:hAnsi="Arial" w:cs="Arial"/>
                <w:b/>
                <w:bCs/>
                <w:sz w:val="24"/>
                <w:szCs w:val="24"/>
              </w:rPr>
              <w:t>depth (km)</w:t>
            </w:r>
          </w:p>
        </w:tc>
        <w:tc>
          <w:tcPr>
            <w:tcW w:w="525" w:type="dxa"/>
            <w:tcBorders>
              <w:top w:val="nil"/>
              <w:left w:val="nil"/>
              <w:bottom w:val="single" w:sz="6" w:space="0" w:color="000000"/>
              <w:right w:val="nil"/>
            </w:tcBorders>
            <w:tcMar>
              <w:top w:w="0" w:type="dxa"/>
              <w:left w:w="20" w:type="dxa"/>
              <w:bottom w:w="0" w:type="dxa"/>
              <w:right w:w="20" w:type="dxa"/>
            </w:tcMar>
          </w:tcPr>
          <w:p w14:paraId="6B5B1D2A" w14:textId="77777777" w:rsidR="007D17B2" w:rsidRPr="00780D2B" w:rsidRDefault="00000000">
            <w:pPr>
              <w:spacing w:after="0" w:line="276" w:lineRule="auto"/>
              <w:jc w:val="both"/>
              <w:rPr>
                <w:rFonts w:ascii="Arial" w:eastAsia="Arial" w:hAnsi="Arial" w:cs="Arial"/>
                <w:b/>
                <w:bCs/>
                <w:sz w:val="24"/>
                <w:szCs w:val="24"/>
              </w:rPr>
            </w:pPr>
            <w:r w:rsidRPr="00780D2B">
              <w:rPr>
                <w:rFonts w:ascii="Arial" w:eastAsia="Arial" w:hAnsi="Arial" w:cs="Arial"/>
                <w:b/>
                <w:bCs/>
                <w:sz w:val="24"/>
                <w:szCs w:val="24"/>
              </w:rPr>
              <w:t>ML</w:t>
            </w:r>
          </w:p>
        </w:tc>
      </w:tr>
      <w:tr w:rsidR="007D17B2" w:rsidRPr="00780D2B" w14:paraId="0650CF70" w14:textId="77777777">
        <w:trPr>
          <w:trHeight w:val="285"/>
        </w:trPr>
        <w:tc>
          <w:tcPr>
            <w:tcW w:w="397" w:type="dxa"/>
            <w:tcBorders>
              <w:top w:val="nil"/>
              <w:left w:val="nil"/>
              <w:bottom w:val="nil"/>
              <w:right w:val="single" w:sz="6" w:space="0" w:color="000000"/>
            </w:tcBorders>
            <w:shd w:val="clear" w:color="auto" w:fill="F2F2F2"/>
            <w:tcMar>
              <w:top w:w="0" w:type="dxa"/>
              <w:left w:w="20" w:type="dxa"/>
              <w:bottom w:w="0" w:type="dxa"/>
              <w:right w:w="20" w:type="dxa"/>
            </w:tcMar>
            <w:vAlign w:val="bottom"/>
          </w:tcPr>
          <w:p w14:paraId="7BA95910"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1</w:t>
            </w:r>
          </w:p>
        </w:tc>
        <w:tc>
          <w:tcPr>
            <w:tcW w:w="2551" w:type="dxa"/>
            <w:tcBorders>
              <w:top w:val="nil"/>
              <w:left w:val="nil"/>
              <w:bottom w:val="nil"/>
              <w:right w:val="nil"/>
            </w:tcBorders>
            <w:shd w:val="clear" w:color="auto" w:fill="F2F2F2"/>
            <w:tcMar>
              <w:top w:w="0" w:type="dxa"/>
              <w:left w:w="20" w:type="dxa"/>
              <w:bottom w:w="0" w:type="dxa"/>
              <w:right w:w="20" w:type="dxa"/>
            </w:tcMar>
            <w:vAlign w:val="bottom"/>
          </w:tcPr>
          <w:p w14:paraId="2ACAB58C"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2023-04-30T14:04:23</w:t>
            </w:r>
          </w:p>
        </w:tc>
        <w:tc>
          <w:tcPr>
            <w:tcW w:w="1644" w:type="dxa"/>
            <w:tcBorders>
              <w:top w:val="nil"/>
              <w:left w:val="nil"/>
              <w:bottom w:val="nil"/>
              <w:right w:val="nil"/>
            </w:tcBorders>
            <w:shd w:val="clear" w:color="auto" w:fill="F2F2F2"/>
            <w:tcMar>
              <w:top w:w="0" w:type="dxa"/>
              <w:left w:w="20" w:type="dxa"/>
              <w:bottom w:w="0" w:type="dxa"/>
              <w:right w:w="20" w:type="dxa"/>
            </w:tcMar>
            <w:vAlign w:val="bottom"/>
          </w:tcPr>
          <w:p w14:paraId="3DA383B7"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62.15</w:t>
            </w:r>
          </w:p>
        </w:tc>
        <w:tc>
          <w:tcPr>
            <w:tcW w:w="1361" w:type="dxa"/>
            <w:tcBorders>
              <w:top w:val="nil"/>
              <w:left w:val="nil"/>
              <w:bottom w:val="nil"/>
              <w:right w:val="nil"/>
            </w:tcBorders>
            <w:shd w:val="clear" w:color="auto" w:fill="F2F2F2"/>
            <w:tcMar>
              <w:top w:w="0" w:type="dxa"/>
              <w:left w:w="20" w:type="dxa"/>
              <w:bottom w:w="0" w:type="dxa"/>
              <w:right w:w="20" w:type="dxa"/>
            </w:tcMar>
            <w:vAlign w:val="bottom"/>
          </w:tcPr>
          <w:p w14:paraId="4500E4BD"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9.6</w:t>
            </w:r>
          </w:p>
        </w:tc>
        <w:tc>
          <w:tcPr>
            <w:tcW w:w="525" w:type="dxa"/>
            <w:tcBorders>
              <w:top w:val="nil"/>
              <w:left w:val="nil"/>
              <w:bottom w:val="nil"/>
              <w:right w:val="nil"/>
            </w:tcBorders>
            <w:shd w:val="clear" w:color="auto" w:fill="F2F2F2"/>
            <w:tcMar>
              <w:top w:w="0" w:type="dxa"/>
              <w:left w:w="20" w:type="dxa"/>
              <w:bottom w:w="0" w:type="dxa"/>
              <w:right w:w="20" w:type="dxa"/>
            </w:tcMar>
            <w:vAlign w:val="bottom"/>
          </w:tcPr>
          <w:p w14:paraId="4E53F7A8"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3.1</w:t>
            </w:r>
          </w:p>
        </w:tc>
      </w:tr>
      <w:tr w:rsidR="007D17B2" w:rsidRPr="00780D2B" w14:paraId="59C202FA" w14:textId="77777777">
        <w:trPr>
          <w:trHeight w:val="285"/>
        </w:trPr>
        <w:tc>
          <w:tcPr>
            <w:tcW w:w="397" w:type="dxa"/>
            <w:tcBorders>
              <w:top w:val="nil"/>
              <w:left w:val="nil"/>
              <w:bottom w:val="nil"/>
              <w:right w:val="single" w:sz="6" w:space="0" w:color="000000"/>
            </w:tcBorders>
            <w:tcMar>
              <w:top w:w="0" w:type="dxa"/>
              <w:left w:w="20" w:type="dxa"/>
              <w:bottom w:w="0" w:type="dxa"/>
              <w:right w:w="20" w:type="dxa"/>
            </w:tcMar>
            <w:vAlign w:val="bottom"/>
          </w:tcPr>
          <w:p w14:paraId="6532A246"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2</w:t>
            </w:r>
          </w:p>
        </w:tc>
        <w:tc>
          <w:tcPr>
            <w:tcW w:w="2551" w:type="dxa"/>
            <w:tcBorders>
              <w:top w:val="nil"/>
              <w:left w:val="nil"/>
              <w:bottom w:val="nil"/>
              <w:right w:val="nil"/>
            </w:tcBorders>
            <w:tcMar>
              <w:top w:w="0" w:type="dxa"/>
              <w:left w:w="20" w:type="dxa"/>
              <w:bottom w:w="0" w:type="dxa"/>
              <w:right w:w="20" w:type="dxa"/>
            </w:tcMar>
            <w:vAlign w:val="bottom"/>
          </w:tcPr>
          <w:p w14:paraId="6288462C"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2023-06-21T06:01:49</w:t>
            </w:r>
          </w:p>
        </w:tc>
        <w:tc>
          <w:tcPr>
            <w:tcW w:w="1644" w:type="dxa"/>
            <w:tcBorders>
              <w:top w:val="nil"/>
              <w:left w:val="nil"/>
              <w:bottom w:val="nil"/>
              <w:right w:val="nil"/>
            </w:tcBorders>
            <w:tcMar>
              <w:top w:w="0" w:type="dxa"/>
              <w:left w:w="20" w:type="dxa"/>
              <w:bottom w:w="0" w:type="dxa"/>
              <w:right w:w="20" w:type="dxa"/>
            </w:tcMar>
            <w:vAlign w:val="bottom"/>
          </w:tcPr>
          <w:p w14:paraId="20F8F1A9"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50.51</w:t>
            </w:r>
          </w:p>
        </w:tc>
        <w:tc>
          <w:tcPr>
            <w:tcW w:w="1361" w:type="dxa"/>
            <w:tcBorders>
              <w:top w:val="nil"/>
              <w:left w:val="nil"/>
              <w:bottom w:val="nil"/>
              <w:right w:val="nil"/>
            </w:tcBorders>
            <w:tcMar>
              <w:top w:w="0" w:type="dxa"/>
              <w:left w:w="20" w:type="dxa"/>
              <w:bottom w:w="0" w:type="dxa"/>
              <w:right w:w="20" w:type="dxa"/>
            </w:tcMar>
            <w:vAlign w:val="bottom"/>
          </w:tcPr>
          <w:p w14:paraId="095B948C"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22.4</w:t>
            </w:r>
          </w:p>
        </w:tc>
        <w:tc>
          <w:tcPr>
            <w:tcW w:w="525" w:type="dxa"/>
            <w:tcBorders>
              <w:top w:val="nil"/>
              <w:left w:val="nil"/>
              <w:bottom w:val="nil"/>
              <w:right w:val="nil"/>
            </w:tcBorders>
            <w:tcMar>
              <w:top w:w="0" w:type="dxa"/>
              <w:left w:w="20" w:type="dxa"/>
              <w:bottom w:w="0" w:type="dxa"/>
              <w:right w:w="20" w:type="dxa"/>
            </w:tcMar>
            <w:vAlign w:val="bottom"/>
          </w:tcPr>
          <w:p w14:paraId="195E8286"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3.2</w:t>
            </w:r>
          </w:p>
        </w:tc>
      </w:tr>
      <w:tr w:rsidR="007D17B2" w:rsidRPr="00780D2B" w14:paraId="18A5DC28" w14:textId="77777777">
        <w:trPr>
          <w:trHeight w:val="285"/>
        </w:trPr>
        <w:tc>
          <w:tcPr>
            <w:tcW w:w="397" w:type="dxa"/>
            <w:tcBorders>
              <w:top w:val="nil"/>
              <w:left w:val="nil"/>
              <w:bottom w:val="nil"/>
              <w:right w:val="single" w:sz="6" w:space="0" w:color="000000"/>
            </w:tcBorders>
            <w:shd w:val="clear" w:color="auto" w:fill="F2F2F2"/>
            <w:tcMar>
              <w:top w:w="0" w:type="dxa"/>
              <w:left w:w="20" w:type="dxa"/>
              <w:bottom w:w="0" w:type="dxa"/>
              <w:right w:w="20" w:type="dxa"/>
            </w:tcMar>
            <w:vAlign w:val="bottom"/>
          </w:tcPr>
          <w:p w14:paraId="02F928C9"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3</w:t>
            </w:r>
          </w:p>
        </w:tc>
        <w:tc>
          <w:tcPr>
            <w:tcW w:w="2551" w:type="dxa"/>
            <w:tcBorders>
              <w:top w:val="nil"/>
              <w:left w:val="nil"/>
              <w:bottom w:val="nil"/>
              <w:right w:val="nil"/>
            </w:tcBorders>
            <w:shd w:val="clear" w:color="auto" w:fill="F2F2F2"/>
            <w:tcMar>
              <w:top w:w="0" w:type="dxa"/>
              <w:left w:w="20" w:type="dxa"/>
              <w:bottom w:w="0" w:type="dxa"/>
              <w:right w:w="20" w:type="dxa"/>
            </w:tcMar>
            <w:vAlign w:val="bottom"/>
          </w:tcPr>
          <w:p w14:paraId="2B9E5314"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2023-06-21T07:25:39</w:t>
            </w:r>
          </w:p>
        </w:tc>
        <w:tc>
          <w:tcPr>
            <w:tcW w:w="1644" w:type="dxa"/>
            <w:tcBorders>
              <w:top w:val="nil"/>
              <w:left w:val="nil"/>
              <w:bottom w:val="nil"/>
              <w:right w:val="nil"/>
            </w:tcBorders>
            <w:shd w:val="clear" w:color="auto" w:fill="F2F2F2"/>
            <w:tcMar>
              <w:top w:w="0" w:type="dxa"/>
              <w:left w:w="20" w:type="dxa"/>
              <w:bottom w:w="0" w:type="dxa"/>
              <w:right w:w="20" w:type="dxa"/>
            </w:tcMar>
            <w:vAlign w:val="bottom"/>
          </w:tcPr>
          <w:p w14:paraId="73E5F89C"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49.87</w:t>
            </w:r>
          </w:p>
        </w:tc>
        <w:tc>
          <w:tcPr>
            <w:tcW w:w="1361" w:type="dxa"/>
            <w:tcBorders>
              <w:top w:val="nil"/>
              <w:left w:val="nil"/>
              <w:bottom w:val="nil"/>
              <w:right w:val="nil"/>
            </w:tcBorders>
            <w:shd w:val="clear" w:color="auto" w:fill="F2F2F2"/>
            <w:tcMar>
              <w:top w:w="0" w:type="dxa"/>
              <w:left w:w="20" w:type="dxa"/>
              <w:bottom w:w="0" w:type="dxa"/>
              <w:right w:w="20" w:type="dxa"/>
            </w:tcMar>
            <w:vAlign w:val="bottom"/>
          </w:tcPr>
          <w:p w14:paraId="587F816A"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22.6</w:t>
            </w:r>
          </w:p>
        </w:tc>
        <w:tc>
          <w:tcPr>
            <w:tcW w:w="525" w:type="dxa"/>
            <w:tcBorders>
              <w:top w:val="nil"/>
              <w:left w:val="nil"/>
              <w:bottom w:val="nil"/>
              <w:right w:val="nil"/>
            </w:tcBorders>
            <w:shd w:val="clear" w:color="auto" w:fill="F2F2F2"/>
            <w:tcMar>
              <w:top w:w="0" w:type="dxa"/>
              <w:left w:w="20" w:type="dxa"/>
              <w:bottom w:w="0" w:type="dxa"/>
              <w:right w:w="20" w:type="dxa"/>
            </w:tcMar>
            <w:vAlign w:val="bottom"/>
          </w:tcPr>
          <w:p w14:paraId="2E94AC61"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3.2</w:t>
            </w:r>
          </w:p>
        </w:tc>
      </w:tr>
      <w:tr w:rsidR="007D17B2" w:rsidRPr="00780D2B" w14:paraId="6E80CB2C" w14:textId="77777777">
        <w:trPr>
          <w:trHeight w:val="285"/>
        </w:trPr>
        <w:tc>
          <w:tcPr>
            <w:tcW w:w="397" w:type="dxa"/>
            <w:tcBorders>
              <w:top w:val="nil"/>
              <w:left w:val="nil"/>
              <w:bottom w:val="nil"/>
              <w:right w:val="single" w:sz="6" w:space="0" w:color="000000"/>
            </w:tcBorders>
            <w:tcMar>
              <w:top w:w="0" w:type="dxa"/>
              <w:left w:w="20" w:type="dxa"/>
              <w:bottom w:w="0" w:type="dxa"/>
              <w:right w:w="20" w:type="dxa"/>
            </w:tcMar>
            <w:vAlign w:val="bottom"/>
          </w:tcPr>
          <w:p w14:paraId="2DFBB8FC"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4</w:t>
            </w:r>
          </w:p>
        </w:tc>
        <w:tc>
          <w:tcPr>
            <w:tcW w:w="2551" w:type="dxa"/>
            <w:tcBorders>
              <w:top w:val="nil"/>
              <w:left w:val="nil"/>
              <w:bottom w:val="nil"/>
              <w:right w:val="nil"/>
            </w:tcBorders>
            <w:tcMar>
              <w:top w:w="0" w:type="dxa"/>
              <w:left w:w="20" w:type="dxa"/>
              <w:bottom w:w="0" w:type="dxa"/>
              <w:right w:w="20" w:type="dxa"/>
            </w:tcMar>
            <w:vAlign w:val="bottom"/>
          </w:tcPr>
          <w:p w14:paraId="2CF455D8"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2023-07-01T14:47:16</w:t>
            </w:r>
          </w:p>
        </w:tc>
        <w:tc>
          <w:tcPr>
            <w:tcW w:w="1644" w:type="dxa"/>
            <w:tcBorders>
              <w:top w:val="nil"/>
              <w:left w:val="nil"/>
              <w:bottom w:val="nil"/>
              <w:right w:val="nil"/>
            </w:tcBorders>
            <w:tcMar>
              <w:top w:w="0" w:type="dxa"/>
              <w:left w:w="20" w:type="dxa"/>
              <w:bottom w:w="0" w:type="dxa"/>
              <w:right w:w="20" w:type="dxa"/>
            </w:tcMar>
            <w:vAlign w:val="bottom"/>
          </w:tcPr>
          <w:p w14:paraId="348DFF15"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49.97</w:t>
            </w:r>
          </w:p>
        </w:tc>
        <w:tc>
          <w:tcPr>
            <w:tcW w:w="1361" w:type="dxa"/>
            <w:tcBorders>
              <w:top w:val="nil"/>
              <w:left w:val="nil"/>
              <w:bottom w:val="nil"/>
              <w:right w:val="nil"/>
            </w:tcBorders>
            <w:tcMar>
              <w:top w:w="0" w:type="dxa"/>
              <w:left w:w="20" w:type="dxa"/>
              <w:bottom w:w="0" w:type="dxa"/>
              <w:right w:w="20" w:type="dxa"/>
            </w:tcMar>
            <w:vAlign w:val="bottom"/>
          </w:tcPr>
          <w:p w14:paraId="467FAAA3"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22.7</w:t>
            </w:r>
          </w:p>
        </w:tc>
        <w:tc>
          <w:tcPr>
            <w:tcW w:w="525" w:type="dxa"/>
            <w:tcBorders>
              <w:top w:val="nil"/>
              <w:left w:val="nil"/>
              <w:bottom w:val="nil"/>
              <w:right w:val="nil"/>
            </w:tcBorders>
            <w:tcMar>
              <w:top w:w="0" w:type="dxa"/>
              <w:left w:w="20" w:type="dxa"/>
              <w:bottom w:w="0" w:type="dxa"/>
              <w:right w:w="20" w:type="dxa"/>
            </w:tcMar>
            <w:vAlign w:val="bottom"/>
          </w:tcPr>
          <w:p w14:paraId="2AC1F92C"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3</w:t>
            </w:r>
          </w:p>
        </w:tc>
      </w:tr>
      <w:tr w:rsidR="007D17B2" w:rsidRPr="00780D2B" w14:paraId="5F4BE139" w14:textId="77777777">
        <w:trPr>
          <w:trHeight w:val="285"/>
        </w:trPr>
        <w:tc>
          <w:tcPr>
            <w:tcW w:w="397" w:type="dxa"/>
            <w:tcBorders>
              <w:top w:val="nil"/>
              <w:left w:val="nil"/>
              <w:bottom w:val="nil"/>
              <w:right w:val="single" w:sz="6" w:space="0" w:color="000000"/>
            </w:tcBorders>
            <w:shd w:val="clear" w:color="auto" w:fill="F2F2F2"/>
            <w:tcMar>
              <w:top w:w="0" w:type="dxa"/>
              <w:left w:w="20" w:type="dxa"/>
              <w:bottom w:w="0" w:type="dxa"/>
              <w:right w:w="20" w:type="dxa"/>
            </w:tcMar>
            <w:vAlign w:val="bottom"/>
          </w:tcPr>
          <w:p w14:paraId="5DFF4E0B"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5</w:t>
            </w:r>
          </w:p>
        </w:tc>
        <w:tc>
          <w:tcPr>
            <w:tcW w:w="2551" w:type="dxa"/>
            <w:tcBorders>
              <w:top w:val="nil"/>
              <w:left w:val="nil"/>
              <w:bottom w:val="nil"/>
              <w:right w:val="nil"/>
            </w:tcBorders>
            <w:shd w:val="clear" w:color="auto" w:fill="F2F2F2"/>
            <w:tcMar>
              <w:top w:w="0" w:type="dxa"/>
              <w:left w:w="20" w:type="dxa"/>
              <w:bottom w:w="0" w:type="dxa"/>
              <w:right w:w="20" w:type="dxa"/>
            </w:tcMar>
            <w:vAlign w:val="bottom"/>
          </w:tcPr>
          <w:p w14:paraId="2661EDF7"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2023-07-04T09:23:59</w:t>
            </w:r>
          </w:p>
        </w:tc>
        <w:tc>
          <w:tcPr>
            <w:tcW w:w="1644" w:type="dxa"/>
            <w:tcBorders>
              <w:top w:val="nil"/>
              <w:left w:val="nil"/>
              <w:bottom w:val="nil"/>
              <w:right w:val="nil"/>
            </w:tcBorders>
            <w:shd w:val="clear" w:color="auto" w:fill="F2F2F2"/>
            <w:tcMar>
              <w:top w:w="0" w:type="dxa"/>
              <w:left w:w="20" w:type="dxa"/>
              <w:bottom w:w="0" w:type="dxa"/>
              <w:right w:w="20" w:type="dxa"/>
            </w:tcMar>
            <w:vAlign w:val="bottom"/>
          </w:tcPr>
          <w:p w14:paraId="15F2DAC6"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49</w:t>
            </w:r>
          </w:p>
        </w:tc>
        <w:tc>
          <w:tcPr>
            <w:tcW w:w="1361" w:type="dxa"/>
            <w:tcBorders>
              <w:top w:val="nil"/>
              <w:left w:val="nil"/>
              <w:bottom w:val="nil"/>
              <w:right w:val="nil"/>
            </w:tcBorders>
            <w:shd w:val="clear" w:color="auto" w:fill="F2F2F2"/>
            <w:tcMar>
              <w:top w:w="0" w:type="dxa"/>
              <w:left w:w="20" w:type="dxa"/>
              <w:bottom w:w="0" w:type="dxa"/>
              <w:right w:w="20" w:type="dxa"/>
            </w:tcMar>
            <w:vAlign w:val="bottom"/>
          </w:tcPr>
          <w:p w14:paraId="20BFA0B1"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21.1</w:t>
            </w:r>
          </w:p>
        </w:tc>
        <w:tc>
          <w:tcPr>
            <w:tcW w:w="525" w:type="dxa"/>
            <w:tcBorders>
              <w:top w:val="nil"/>
              <w:left w:val="nil"/>
              <w:bottom w:val="nil"/>
              <w:right w:val="nil"/>
            </w:tcBorders>
            <w:shd w:val="clear" w:color="auto" w:fill="F2F2F2"/>
            <w:tcMar>
              <w:top w:w="0" w:type="dxa"/>
              <w:left w:w="20" w:type="dxa"/>
              <w:bottom w:w="0" w:type="dxa"/>
              <w:right w:w="20" w:type="dxa"/>
            </w:tcMar>
            <w:vAlign w:val="bottom"/>
          </w:tcPr>
          <w:p w14:paraId="72847A11"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3</w:t>
            </w:r>
          </w:p>
        </w:tc>
      </w:tr>
      <w:tr w:rsidR="007D17B2" w:rsidRPr="00780D2B" w14:paraId="00CA5880" w14:textId="77777777">
        <w:trPr>
          <w:trHeight w:val="285"/>
        </w:trPr>
        <w:tc>
          <w:tcPr>
            <w:tcW w:w="397" w:type="dxa"/>
            <w:tcBorders>
              <w:top w:val="nil"/>
              <w:left w:val="nil"/>
              <w:bottom w:val="nil"/>
              <w:right w:val="single" w:sz="6" w:space="0" w:color="000000"/>
            </w:tcBorders>
            <w:tcMar>
              <w:top w:w="0" w:type="dxa"/>
              <w:left w:w="20" w:type="dxa"/>
              <w:bottom w:w="0" w:type="dxa"/>
              <w:right w:w="20" w:type="dxa"/>
            </w:tcMar>
            <w:vAlign w:val="bottom"/>
          </w:tcPr>
          <w:p w14:paraId="7D0C3C11"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6</w:t>
            </w:r>
          </w:p>
        </w:tc>
        <w:tc>
          <w:tcPr>
            <w:tcW w:w="2551" w:type="dxa"/>
            <w:tcBorders>
              <w:top w:val="nil"/>
              <w:left w:val="nil"/>
              <w:bottom w:val="nil"/>
              <w:right w:val="nil"/>
            </w:tcBorders>
            <w:tcMar>
              <w:top w:w="0" w:type="dxa"/>
              <w:left w:w="20" w:type="dxa"/>
              <w:bottom w:w="0" w:type="dxa"/>
              <w:right w:w="20" w:type="dxa"/>
            </w:tcMar>
            <w:vAlign w:val="bottom"/>
          </w:tcPr>
          <w:p w14:paraId="59695BC0"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2023-07-28T17:38:20</w:t>
            </w:r>
          </w:p>
        </w:tc>
        <w:tc>
          <w:tcPr>
            <w:tcW w:w="1644" w:type="dxa"/>
            <w:tcBorders>
              <w:top w:val="nil"/>
              <w:left w:val="nil"/>
              <w:bottom w:val="nil"/>
              <w:right w:val="nil"/>
            </w:tcBorders>
            <w:tcMar>
              <w:top w:w="0" w:type="dxa"/>
              <w:left w:w="20" w:type="dxa"/>
              <w:bottom w:w="0" w:type="dxa"/>
              <w:right w:w="20" w:type="dxa"/>
            </w:tcMar>
            <w:vAlign w:val="bottom"/>
          </w:tcPr>
          <w:p w14:paraId="39F1AD17"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49.89</w:t>
            </w:r>
          </w:p>
        </w:tc>
        <w:tc>
          <w:tcPr>
            <w:tcW w:w="1361" w:type="dxa"/>
            <w:tcBorders>
              <w:top w:val="nil"/>
              <w:left w:val="nil"/>
              <w:bottom w:val="nil"/>
              <w:right w:val="nil"/>
            </w:tcBorders>
            <w:tcMar>
              <w:top w:w="0" w:type="dxa"/>
              <w:left w:w="20" w:type="dxa"/>
              <w:bottom w:w="0" w:type="dxa"/>
              <w:right w:w="20" w:type="dxa"/>
            </w:tcMar>
            <w:vAlign w:val="bottom"/>
          </w:tcPr>
          <w:p w14:paraId="078A2B1E"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23.9</w:t>
            </w:r>
          </w:p>
        </w:tc>
        <w:tc>
          <w:tcPr>
            <w:tcW w:w="525" w:type="dxa"/>
            <w:tcBorders>
              <w:top w:val="nil"/>
              <w:left w:val="nil"/>
              <w:bottom w:val="nil"/>
              <w:right w:val="nil"/>
            </w:tcBorders>
            <w:tcMar>
              <w:top w:w="0" w:type="dxa"/>
              <w:left w:w="20" w:type="dxa"/>
              <w:bottom w:w="0" w:type="dxa"/>
              <w:right w:w="20" w:type="dxa"/>
            </w:tcMar>
            <w:vAlign w:val="bottom"/>
          </w:tcPr>
          <w:p w14:paraId="5AA4D69E"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3.1</w:t>
            </w:r>
          </w:p>
        </w:tc>
      </w:tr>
      <w:tr w:rsidR="007D17B2" w:rsidRPr="00780D2B" w14:paraId="38438220" w14:textId="77777777">
        <w:trPr>
          <w:trHeight w:val="285"/>
        </w:trPr>
        <w:tc>
          <w:tcPr>
            <w:tcW w:w="397" w:type="dxa"/>
            <w:tcBorders>
              <w:top w:val="nil"/>
              <w:left w:val="nil"/>
              <w:bottom w:val="nil"/>
              <w:right w:val="single" w:sz="6" w:space="0" w:color="000000"/>
            </w:tcBorders>
            <w:shd w:val="clear" w:color="auto" w:fill="F2F2F2"/>
            <w:tcMar>
              <w:top w:w="0" w:type="dxa"/>
              <w:left w:w="20" w:type="dxa"/>
              <w:bottom w:w="0" w:type="dxa"/>
              <w:right w:w="20" w:type="dxa"/>
            </w:tcMar>
            <w:vAlign w:val="bottom"/>
          </w:tcPr>
          <w:p w14:paraId="6DB1C598"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7</w:t>
            </w:r>
          </w:p>
        </w:tc>
        <w:tc>
          <w:tcPr>
            <w:tcW w:w="2551" w:type="dxa"/>
            <w:tcBorders>
              <w:top w:val="nil"/>
              <w:left w:val="nil"/>
              <w:bottom w:val="nil"/>
              <w:right w:val="nil"/>
            </w:tcBorders>
            <w:shd w:val="clear" w:color="auto" w:fill="F2F2F2"/>
            <w:tcMar>
              <w:top w:w="0" w:type="dxa"/>
              <w:left w:w="20" w:type="dxa"/>
              <w:bottom w:w="0" w:type="dxa"/>
              <w:right w:w="20" w:type="dxa"/>
            </w:tcMar>
            <w:vAlign w:val="bottom"/>
          </w:tcPr>
          <w:p w14:paraId="57F640AB"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2023-08-07T23:32:24</w:t>
            </w:r>
          </w:p>
        </w:tc>
        <w:tc>
          <w:tcPr>
            <w:tcW w:w="1644" w:type="dxa"/>
            <w:tcBorders>
              <w:top w:val="nil"/>
              <w:left w:val="nil"/>
              <w:bottom w:val="nil"/>
              <w:right w:val="nil"/>
            </w:tcBorders>
            <w:shd w:val="clear" w:color="auto" w:fill="F2F2F2"/>
            <w:tcMar>
              <w:top w:w="0" w:type="dxa"/>
              <w:left w:w="20" w:type="dxa"/>
              <w:bottom w:w="0" w:type="dxa"/>
              <w:right w:w="20" w:type="dxa"/>
            </w:tcMar>
            <w:vAlign w:val="bottom"/>
          </w:tcPr>
          <w:p w14:paraId="1D1BCD72"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74.84</w:t>
            </w:r>
          </w:p>
        </w:tc>
        <w:tc>
          <w:tcPr>
            <w:tcW w:w="1361" w:type="dxa"/>
            <w:tcBorders>
              <w:top w:val="nil"/>
              <w:left w:val="nil"/>
              <w:bottom w:val="nil"/>
              <w:right w:val="nil"/>
            </w:tcBorders>
            <w:shd w:val="clear" w:color="auto" w:fill="F2F2F2"/>
            <w:tcMar>
              <w:top w:w="0" w:type="dxa"/>
              <w:left w:w="20" w:type="dxa"/>
              <w:bottom w:w="0" w:type="dxa"/>
              <w:right w:w="20" w:type="dxa"/>
            </w:tcMar>
            <w:vAlign w:val="bottom"/>
          </w:tcPr>
          <w:p w14:paraId="4EA5426A"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21</w:t>
            </w:r>
          </w:p>
        </w:tc>
        <w:tc>
          <w:tcPr>
            <w:tcW w:w="525" w:type="dxa"/>
            <w:tcBorders>
              <w:top w:val="nil"/>
              <w:left w:val="nil"/>
              <w:bottom w:val="nil"/>
              <w:right w:val="nil"/>
            </w:tcBorders>
            <w:shd w:val="clear" w:color="auto" w:fill="F2F2F2"/>
            <w:tcMar>
              <w:top w:w="0" w:type="dxa"/>
              <w:left w:w="20" w:type="dxa"/>
              <w:bottom w:w="0" w:type="dxa"/>
              <w:right w:w="20" w:type="dxa"/>
            </w:tcMar>
            <w:vAlign w:val="bottom"/>
          </w:tcPr>
          <w:p w14:paraId="34F1B898"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3.1</w:t>
            </w:r>
          </w:p>
        </w:tc>
      </w:tr>
      <w:tr w:rsidR="007D17B2" w:rsidRPr="00780D2B" w14:paraId="025FDD67" w14:textId="77777777">
        <w:trPr>
          <w:trHeight w:val="285"/>
        </w:trPr>
        <w:tc>
          <w:tcPr>
            <w:tcW w:w="397" w:type="dxa"/>
            <w:tcBorders>
              <w:top w:val="nil"/>
              <w:left w:val="nil"/>
              <w:bottom w:val="nil"/>
              <w:right w:val="single" w:sz="6" w:space="0" w:color="000000"/>
            </w:tcBorders>
            <w:tcMar>
              <w:top w:w="0" w:type="dxa"/>
              <w:left w:w="20" w:type="dxa"/>
              <w:bottom w:w="0" w:type="dxa"/>
              <w:right w:w="20" w:type="dxa"/>
            </w:tcMar>
            <w:vAlign w:val="bottom"/>
          </w:tcPr>
          <w:p w14:paraId="10E3D67A"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8</w:t>
            </w:r>
          </w:p>
        </w:tc>
        <w:tc>
          <w:tcPr>
            <w:tcW w:w="2551" w:type="dxa"/>
            <w:tcBorders>
              <w:top w:val="nil"/>
              <w:left w:val="nil"/>
              <w:bottom w:val="nil"/>
              <w:right w:val="nil"/>
            </w:tcBorders>
            <w:tcMar>
              <w:top w:w="0" w:type="dxa"/>
              <w:left w:w="20" w:type="dxa"/>
              <w:bottom w:w="0" w:type="dxa"/>
              <w:right w:w="20" w:type="dxa"/>
            </w:tcMar>
            <w:vAlign w:val="bottom"/>
          </w:tcPr>
          <w:p w14:paraId="0FA7B96D"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2023-09-18T02:38:04</w:t>
            </w:r>
          </w:p>
        </w:tc>
        <w:tc>
          <w:tcPr>
            <w:tcW w:w="1644" w:type="dxa"/>
            <w:tcBorders>
              <w:top w:val="nil"/>
              <w:left w:val="nil"/>
              <w:bottom w:val="nil"/>
              <w:right w:val="nil"/>
            </w:tcBorders>
            <w:tcMar>
              <w:top w:w="0" w:type="dxa"/>
              <w:left w:w="20" w:type="dxa"/>
              <w:bottom w:w="0" w:type="dxa"/>
              <w:right w:w="20" w:type="dxa"/>
            </w:tcMar>
            <w:vAlign w:val="bottom"/>
          </w:tcPr>
          <w:p w14:paraId="3081396E"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53.84</w:t>
            </w:r>
          </w:p>
        </w:tc>
        <w:tc>
          <w:tcPr>
            <w:tcW w:w="1361" w:type="dxa"/>
            <w:tcBorders>
              <w:top w:val="nil"/>
              <w:left w:val="nil"/>
              <w:bottom w:val="nil"/>
              <w:right w:val="nil"/>
            </w:tcBorders>
            <w:tcMar>
              <w:top w:w="0" w:type="dxa"/>
              <w:left w:w="20" w:type="dxa"/>
              <w:bottom w:w="0" w:type="dxa"/>
              <w:right w:w="20" w:type="dxa"/>
            </w:tcMar>
            <w:vAlign w:val="bottom"/>
          </w:tcPr>
          <w:p w14:paraId="6884F897"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8.2</w:t>
            </w:r>
          </w:p>
        </w:tc>
        <w:tc>
          <w:tcPr>
            <w:tcW w:w="525" w:type="dxa"/>
            <w:tcBorders>
              <w:top w:val="nil"/>
              <w:left w:val="nil"/>
              <w:bottom w:val="nil"/>
              <w:right w:val="nil"/>
            </w:tcBorders>
            <w:tcMar>
              <w:top w:w="0" w:type="dxa"/>
              <w:left w:w="20" w:type="dxa"/>
              <w:bottom w:w="0" w:type="dxa"/>
              <w:right w:w="20" w:type="dxa"/>
            </w:tcMar>
            <w:vAlign w:val="bottom"/>
          </w:tcPr>
          <w:p w14:paraId="5041AB92"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3.3</w:t>
            </w:r>
          </w:p>
        </w:tc>
      </w:tr>
      <w:tr w:rsidR="007D17B2" w:rsidRPr="00780D2B" w14:paraId="53717499" w14:textId="77777777">
        <w:trPr>
          <w:trHeight w:val="285"/>
        </w:trPr>
        <w:tc>
          <w:tcPr>
            <w:tcW w:w="397" w:type="dxa"/>
            <w:tcBorders>
              <w:top w:val="nil"/>
              <w:left w:val="nil"/>
              <w:bottom w:val="nil"/>
              <w:right w:val="single" w:sz="6" w:space="0" w:color="000000"/>
            </w:tcBorders>
            <w:shd w:val="clear" w:color="auto" w:fill="F2F2F2"/>
            <w:tcMar>
              <w:top w:w="0" w:type="dxa"/>
              <w:left w:w="20" w:type="dxa"/>
              <w:bottom w:w="0" w:type="dxa"/>
              <w:right w:w="20" w:type="dxa"/>
            </w:tcMar>
            <w:vAlign w:val="bottom"/>
          </w:tcPr>
          <w:p w14:paraId="32BD7855"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9</w:t>
            </w:r>
          </w:p>
        </w:tc>
        <w:tc>
          <w:tcPr>
            <w:tcW w:w="2551" w:type="dxa"/>
            <w:tcBorders>
              <w:top w:val="nil"/>
              <w:left w:val="nil"/>
              <w:bottom w:val="nil"/>
              <w:right w:val="nil"/>
            </w:tcBorders>
            <w:shd w:val="clear" w:color="auto" w:fill="F2F2F2"/>
            <w:tcMar>
              <w:top w:w="0" w:type="dxa"/>
              <w:left w:w="20" w:type="dxa"/>
              <w:bottom w:w="0" w:type="dxa"/>
              <w:right w:w="20" w:type="dxa"/>
            </w:tcMar>
            <w:vAlign w:val="bottom"/>
          </w:tcPr>
          <w:p w14:paraId="29BE2C66"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2023-09-18T03:10:14</w:t>
            </w:r>
          </w:p>
        </w:tc>
        <w:tc>
          <w:tcPr>
            <w:tcW w:w="1644" w:type="dxa"/>
            <w:tcBorders>
              <w:top w:val="nil"/>
              <w:left w:val="nil"/>
              <w:bottom w:val="nil"/>
              <w:right w:val="nil"/>
            </w:tcBorders>
            <w:shd w:val="clear" w:color="auto" w:fill="F2F2F2"/>
            <w:tcMar>
              <w:top w:w="0" w:type="dxa"/>
              <w:left w:w="20" w:type="dxa"/>
              <w:bottom w:w="0" w:type="dxa"/>
              <w:right w:w="20" w:type="dxa"/>
            </w:tcMar>
            <w:vAlign w:val="bottom"/>
          </w:tcPr>
          <w:p w14:paraId="7FBA1586"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53.9</w:t>
            </w:r>
          </w:p>
        </w:tc>
        <w:tc>
          <w:tcPr>
            <w:tcW w:w="1361" w:type="dxa"/>
            <w:tcBorders>
              <w:top w:val="nil"/>
              <w:left w:val="nil"/>
              <w:bottom w:val="nil"/>
              <w:right w:val="nil"/>
            </w:tcBorders>
            <w:shd w:val="clear" w:color="auto" w:fill="F2F2F2"/>
            <w:tcMar>
              <w:top w:w="0" w:type="dxa"/>
              <w:left w:w="20" w:type="dxa"/>
              <w:bottom w:w="0" w:type="dxa"/>
              <w:right w:w="20" w:type="dxa"/>
            </w:tcMar>
            <w:vAlign w:val="bottom"/>
          </w:tcPr>
          <w:p w14:paraId="20D8B908"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8.1</w:t>
            </w:r>
          </w:p>
        </w:tc>
        <w:tc>
          <w:tcPr>
            <w:tcW w:w="525" w:type="dxa"/>
            <w:tcBorders>
              <w:top w:val="nil"/>
              <w:left w:val="nil"/>
              <w:bottom w:val="nil"/>
              <w:right w:val="nil"/>
            </w:tcBorders>
            <w:shd w:val="clear" w:color="auto" w:fill="F2F2F2"/>
            <w:tcMar>
              <w:top w:w="0" w:type="dxa"/>
              <w:left w:w="20" w:type="dxa"/>
              <w:bottom w:w="0" w:type="dxa"/>
              <w:right w:w="20" w:type="dxa"/>
            </w:tcMar>
            <w:vAlign w:val="bottom"/>
          </w:tcPr>
          <w:p w14:paraId="353F2B6B"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4.8</w:t>
            </w:r>
          </w:p>
        </w:tc>
      </w:tr>
      <w:tr w:rsidR="007D17B2" w:rsidRPr="00780D2B" w14:paraId="53AB37FD" w14:textId="77777777">
        <w:trPr>
          <w:trHeight w:val="285"/>
        </w:trPr>
        <w:tc>
          <w:tcPr>
            <w:tcW w:w="397" w:type="dxa"/>
            <w:tcBorders>
              <w:top w:val="nil"/>
              <w:left w:val="nil"/>
              <w:bottom w:val="nil"/>
              <w:right w:val="single" w:sz="6" w:space="0" w:color="000000"/>
            </w:tcBorders>
            <w:tcMar>
              <w:top w:w="0" w:type="dxa"/>
              <w:left w:w="20" w:type="dxa"/>
              <w:bottom w:w="0" w:type="dxa"/>
              <w:right w:w="20" w:type="dxa"/>
            </w:tcMar>
            <w:vAlign w:val="bottom"/>
          </w:tcPr>
          <w:p w14:paraId="4292EB6C"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10</w:t>
            </w:r>
          </w:p>
        </w:tc>
        <w:tc>
          <w:tcPr>
            <w:tcW w:w="2551" w:type="dxa"/>
            <w:tcBorders>
              <w:top w:val="nil"/>
              <w:left w:val="nil"/>
              <w:bottom w:val="nil"/>
              <w:right w:val="nil"/>
            </w:tcBorders>
            <w:tcMar>
              <w:top w:w="0" w:type="dxa"/>
              <w:left w:w="20" w:type="dxa"/>
              <w:bottom w:w="0" w:type="dxa"/>
              <w:right w:w="20" w:type="dxa"/>
            </w:tcMar>
            <w:vAlign w:val="bottom"/>
          </w:tcPr>
          <w:p w14:paraId="195E5FE9"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2023-09-18T03:11:39</w:t>
            </w:r>
          </w:p>
        </w:tc>
        <w:tc>
          <w:tcPr>
            <w:tcW w:w="1644" w:type="dxa"/>
            <w:tcBorders>
              <w:top w:val="nil"/>
              <w:left w:val="nil"/>
              <w:bottom w:val="nil"/>
              <w:right w:val="nil"/>
            </w:tcBorders>
            <w:tcMar>
              <w:top w:w="0" w:type="dxa"/>
              <w:left w:w="20" w:type="dxa"/>
              <w:bottom w:w="0" w:type="dxa"/>
              <w:right w:w="20" w:type="dxa"/>
            </w:tcMar>
            <w:vAlign w:val="bottom"/>
          </w:tcPr>
          <w:p w14:paraId="549220AB"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55.08</w:t>
            </w:r>
          </w:p>
        </w:tc>
        <w:tc>
          <w:tcPr>
            <w:tcW w:w="1361" w:type="dxa"/>
            <w:tcBorders>
              <w:top w:val="nil"/>
              <w:left w:val="nil"/>
              <w:bottom w:val="nil"/>
              <w:right w:val="nil"/>
            </w:tcBorders>
            <w:tcMar>
              <w:top w:w="0" w:type="dxa"/>
              <w:left w:w="20" w:type="dxa"/>
              <w:bottom w:w="0" w:type="dxa"/>
              <w:right w:w="20" w:type="dxa"/>
            </w:tcMar>
            <w:vAlign w:val="bottom"/>
          </w:tcPr>
          <w:p w14:paraId="04FC34B7"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6.9</w:t>
            </w:r>
          </w:p>
        </w:tc>
        <w:tc>
          <w:tcPr>
            <w:tcW w:w="525" w:type="dxa"/>
            <w:tcBorders>
              <w:top w:val="nil"/>
              <w:left w:val="nil"/>
              <w:bottom w:val="nil"/>
              <w:right w:val="nil"/>
            </w:tcBorders>
            <w:tcMar>
              <w:top w:w="0" w:type="dxa"/>
              <w:left w:w="20" w:type="dxa"/>
              <w:bottom w:w="0" w:type="dxa"/>
              <w:right w:w="20" w:type="dxa"/>
            </w:tcMar>
            <w:vAlign w:val="bottom"/>
          </w:tcPr>
          <w:p w14:paraId="5A7EF5DE"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3.4</w:t>
            </w:r>
          </w:p>
        </w:tc>
      </w:tr>
      <w:tr w:rsidR="007D17B2" w:rsidRPr="00780D2B" w14:paraId="10911DF7" w14:textId="77777777">
        <w:trPr>
          <w:trHeight w:val="285"/>
        </w:trPr>
        <w:tc>
          <w:tcPr>
            <w:tcW w:w="397" w:type="dxa"/>
            <w:tcBorders>
              <w:top w:val="nil"/>
              <w:left w:val="nil"/>
              <w:bottom w:val="nil"/>
              <w:right w:val="single" w:sz="6" w:space="0" w:color="000000"/>
            </w:tcBorders>
            <w:shd w:val="clear" w:color="auto" w:fill="F2F2F2"/>
            <w:tcMar>
              <w:top w:w="0" w:type="dxa"/>
              <w:left w:w="20" w:type="dxa"/>
              <w:bottom w:w="0" w:type="dxa"/>
              <w:right w:w="20" w:type="dxa"/>
            </w:tcMar>
            <w:vAlign w:val="bottom"/>
          </w:tcPr>
          <w:p w14:paraId="6A8FC5CA"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11</w:t>
            </w:r>
          </w:p>
        </w:tc>
        <w:tc>
          <w:tcPr>
            <w:tcW w:w="2551" w:type="dxa"/>
            <w:tcBorders>
              <w:top w:val="nil"/>
              <w:left w:val="nil"/>
              <w:bottom w:val="nil"/>
              <w:right w:val="nil"/>
            </w:tcBorders>
            <w:shd w:val="clear" w:color="auto" w:fill="F2F2F2"/>
            <w:tcMar>
              <w:top w:w="0" w:type="dxa"/>
              <w:left w:w="20" w:type="dxa"/>
              <w:bottom w:w="0" w:type="dxa"/>
              <w:right w:w="20" w:type="dxa"/>
            </w:tcMar>
            <w:vAlign w:val="bottom"/>
          </w:tcPr>
          <w:p w14:paraId="28A3D144"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2023-09-18T04:56:23</w:t>
            </w:r>
          </w:p>
        </w:tc>
        <w:tc>
          <w:tcPr>
            <w:tcW w:w="1644" w:type="dxa"/>
            <w:tcBorders>
              <w:top w:val="nil"/>
              <w:left w:val="nil"/>
              <w:bottom w:val="nil"/>
              <w:right w:val="nil"/>
            </w:tcBorders>
            <w:shd w:val="clear" w:color="auto" w:fill="F2F2F2"/>
            <w:tcMar>
              <w:top w:w="0" w:type="dxa"/>
              <w:left w:w="20" w:type="dxa"/>
              <w:bottom w:w="0" w:type="dxa"/>
              <w:right w:w="20" w:type="dxa"/>
            </w:tcMar>
            <w:vAlign w:val="bottom"/>
          </w:tcPr>
          <w:p w14:paraId="2F9FF359"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56.77</w:t>
            </w:r>
          </w:p>
        </w:tc>
        <w:tc>
          <w:tcPr>
            <w:tcW w:w="1361" w:type="dxa"/>
            <w:tcBorders>
              <w:top w:val="nil"/>
              <w:left w:val="nil"/>
              <w:bottom w:val="nil"/>
              <w:right w:val="nil"/>
            </w:tcBorders>
            <w:shd w:val="clear" w:color="auto" w:fill="F2F2F2"/>
            <w:tcMar>
              <w:top w:w="0" w:type="dxa"/>
              <w:left w:w="20" w:type="dxa"/>
              <w:bottom w:w="0" w:type="dxa"/>
              <w:right w:w="20" w:type="dxa"/>
            </w:tcMar>
            <w:vAlign w:val="bottom"/>
          </w:tcPr>
          <w:p w14:paraId="26476869"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7.9</w:t>
            </w:r>
          </w:p>
        </w:tc>
        <w:tc>
          <w:tcPr>
            <w:tcW w:w="525" w:type="dxa"/>
            <w:tcBorders>
              <w:top w:val="nil"/>
              <w:left w:val="nil"/>
              <w:bottom w:val="nil"/>
              <w:right w:val="nil"/>
            </w:tcBorders>
            <w:shd w:val="clear" w:color="auto" w:fill="F2F2F2"/>
            <w:tcMar>
              <w:top w:w="0" w:type="dxa"/>
              <w:left w:w="20" w:type="dxa"/>
              <w:bottom w:w="0" w:type="dxa"/>
              <w:right w:w="20" w:type="dxa"/>
            </w:tcMar>
            <w:vAlign w:val="bottom"/>
          </w:tcPr>
          <w:p w14:paraId="1C7D5E23"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3</w:t>
            </w:r>
          </w:p>
        </w:tc>
      </w:tr>
      <w:tr w:rsidR="007D17B2" w:rsidRPr="00780D2B" w14:paraId="505900EC" w14:textId="77777777">
        <w:trPr>
          <w:trHeight w:val="285"/>
        </w:trPr>
        <w:tc>
          <w:tcPr>
            <w:tcW w:w="397" w:type="dxa"/>
            <w:tcBorders>
              <w:top w:val="nil"/>
              <w:left w:val="nil"/>
              <w:bottom w:val="nil"/>
              <w:right w:val="single" w:sz="6" w:space="0" w:color="000000"/>
            </w:tcBorders>
            <w:tcMar>
              <w:top w:w="0" w:type="dxa"/>
              <w:left w:w="20" w:type="dxa"/>
              <w:bottom w:w="0" w:type="dxa"/>
              <w:right w:w="20" w:type="dxa"/>
            </w:tcMar>
            <w:vAlign w:val="bottom"/>
          </w:tcPr>
          <w:p w14:paraId="2A373784"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12</w:t>
            </w:r>
          </w:p>
        </w:tc>
        <w:tc>
          <w:tcPr>
            <w:tcW w:w="2551" w:type="dxa"/>
            <w:tcBorders>
              <w:top w:val="nil"/>
              <w:left w:val="nil"/>
              <w:bottom w:val="nil"/>
              <w:right w:val="nil"/>
            </w:tcBorders>
            <w:tcMar>
              <w:top w:w="0" w:type="dxa"/>
              <w:left w:w="20" w:type="dxa"/>
              <w:bottom w:w="0" w:type="dxa"/>
              <w:right w:w="20" w:type="dxa"/>
            </w:tcMar>
            <w:vAlign w:val="bottom"/>
          </w:tcPr>
          <w:p w14:paraId="235991EE"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2023-09-18T07:35:48</w:t>
            </w:r>
          </w:p>
        </w:tc>
        <w:tc>
          <w:tcPr>
            <w:tcW w:w="1644" w:type="dxa"/>
            <w:tcBorders>
              <w:top w:val="nil"/>
              <w:left w:val="nil"/>
              <w:bottom w:val="nil"/>
              <w:right w:val="nil"/>
            </w:tcBorders>
            <w:tcMar>
              <w:top w:w="0" w:type="dxa"/>
              <w:left w:w="20" w:type="dxa"/>
              <w:bottom w:w="0" w:type="dxa"/>
              <w:right w:w="20" w:type="dxa"/>
            </w:tcMar>
            <w:vAlign w:val="bottom"/>
          </w:tcPr>
          <w:p w14:paraId="3E401C2C"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53.15</w:t>
            </w:r>
          </w:p>
        </w:tc>
        <w:tc>
          <w:tcPr>
            <w:tcW w:w="1361" w:type="dxa"/>
            <w:tcBorders>
              <w:top w:val="nil"/>
              <w:left w:val="nil"/>
              <w:bottom w:val="nil"/>
              <w:right w:val="nil"/>
            </w:tcBorders>
            <w:tcMar>
              <w:top w:w="0" w:type="dxa"/>
              <w:left w:w="20" w:type="dxa"/>
              <w:bottom w:w="0" w:type="dxa"/>
              <w:right w:w="20" w:type="dxa"/>
            </w:tcMar>
            <w:vAlign w:val="bottom"/>
          </w:tcPr>
          <w:p w14:paraId="3C858D1D"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8.1</w:t>
            </w:r>
          </w:p>
        </w:tc>
        <w:tc>
          <w:tcPr>
            <w:tcW w:w="525" w:type="dxa"/>
            <w:tcBorders>
              <w:top w:val="nil"/>
              <w:left w:val="nil"/>
              <w:bottom w:val="nil"/>
              <w:right w:val="nil"/>
            </w:tcBorders>
            <w:tcMar>
              <w:top w:w="0" w:type="dxa"/>
              <w:left w:w="20" w:type="dxa"/>
              <w:bottom w:w="0" w:type="dxa"/>
              <w:right w:w="20" w:type="dxa"/>
            </w:tcMar>
            <w:vAlign w:val="bottom"/>
          </w:tcPr>
          <w:p w14:paraId="6A837629"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3</w:t>
            </w:r>
          </w:p>
        </w:tc>
      </w:tr>
      <w:tr w:rsidR="007D17B2" w:rsidRPr="00780D2B" w14:paraId="324DFE43" w14:textId="77777777">
        <w:trPr>
          <w:trHeight w:val="285"/>
        </w:trPr>
        <w:tc>
          <w:tcPr>
            <w:tcW w:w="397" w:type="dxa"/>
            <w:tcBorders>
              <w:top w:val="nil"/>
              <w:left w:val="nil"/>
              <w:bottom w:val="nil"/>
              <w:right w:val="single" w:sz="6" w:space="0" w:color="000000"/>
            </w:tcBorders>
            <w:tcMar>
              <w:top w:w="0" w:type="dxa"/>
              <w:left w:w="20" w:type="dxa"/>
              <w:bottom w:w="0" w:type="dxa"/>
              <w:right w:w="20" w:type="dxa"/>
            </w:tcMar>
            <w:vAlign w:val="bottom"/>
          </w:tcPr>
          <w:p w14:paraId="01854B82"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13</w:t>
            </w:r>
          </w:p>
        </w:tc>
        <w:tc>
          <w:tcPr>
            <w:tcW w:w="2551" w:type="dxa"/>
            <w:tcBorders>
              <w:top w:val="nil"/>
              <w:left w:val="nil"/>
              <w:bottom w:val="nil"/>
              <w:right w:val="nil"/>
            </w:tcBorders>
            <w:tcMar>
              <w:top w:w="0" w:type="dxa"/>
              <w:left w:w="20" w:type="dxa"/>
              <w:bottom w:w="0" w:type="dxa"/>
              <w:right w:w="20" w:type="dxa"/>
            </w:tcMar>
            <w:vAlign w:val="bottom"/>
          </w:tcPr>
          <w:p w14:paraId="71AE71AC"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2023-09-19T03:40:47</w:t>
            </w:r>
          </w:p>
        </w:tc>
        <w:tc>
          <w:tcPr>
            <w:tcW w:w="1644" w:type="dxa"/>
            <w:tcBorders>
              <w:top w:val="nil"/>
              <w:left w:val="nil"/>
              <w:bottom w:val="nil"/>
              <w:right w:val="nil"/>
            </w:tcBorders>
            <w:tcMar>
              <w:top w:w="0" w:type="dxa"/>
              <w:left w:w="20" w:type="dxa"/>
              <w:bottom w:w="0" w:type="dxa"/>
              <w:right w:w="20" w:type="dxa"/>
            </w:tcMar>
            <w:vAlign w:val="bottom"/>
          </w:tcPr>
          <w:p w14:paraId="4C4BBD35"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55.81</w:t>
            </w:r>
          </w:p>
        </w:tc>
        <w:tc>
          <w:tcPr>
            <w:tcW w:w="1361" w:type="dxa"/>
            <w:tcBorders>
              <w:top w:val="nil"/>
              <w:left w:val="nil"/>
              <w:bottom w:val="nil"/>
              <w:right w:val="nil"/>
            </w:tcBorders>
            <w:tcMar>
              <w:top w:w="0" w:type="dxa"/>
              <w:left w:w="20" w:type="dxa"/>
              <w:bottom w:w="0" w:type="dxa"/>
              <w:right w:w="20" w:type="dxa"/>
            </w:tcMar>
            <w:vAlign w:val="bottom"/>
          </w:tcPr>
          <w:p w14:paraId="10A68B06"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7.1</w:t>
            </w:r>
          </w:p>
        </w:tc>
        <w:tc>
          <w:tcPr>
            <w:tcW w:w="525" w:type="dxa"/>
            <w:tcBorders>
              <w:top w:val="nil"/>
              <w:left w:val="nil"/>
              <w:bottom w:val="nil"/>
              <w:right w:val="nil"/>
            </w:tcBorders>
            <w:tcMar>
              <w:top w:w="0" w:type="dxa"/>
              <w:left w:w="20" w:type="dxa"/>
              <w:bottom w:w="0" w:type="dxa"/>
              <w:right w:w="20" w:type="dxa"/>
            </w:tcMar>
            <w:vAlign w:val="bottom"/>
          </w:tcPr>
          <w:p w14:paraId="603026D1"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3</w:t>
            </w:r>
          </w:p>
        </w:tc>
      </w:tr>
      <w:tr w:rsidR="007D17B2" w:rsidRPr="00780D2B" w14:paraId="2DA36FC0" w14:textId="77777777">
        <w:trPr>
          <w:trHeight w:val="285"/>
        </w:trPr>
        <w:tc>
          <w:tcPr>
            <w:tcW w:w="397" w:type="dxa"/>
            <w:tcBorders>
              <w:top w:val="nil"/>
              <w:left w:val="nil"/>
              <w:bottom w:val="nil"/>
              <w:right w:val="single" w:sz="6" w:space="0" w:color="000000"/>
            </w:tcBorders>
            <w:shd w:val="clear" w:color="auto" w:fill="F2F2F2"/>
            <w:tcMar>
              <w:top w:w="0" w:type="dxa"/>
              <w:left w:w="20" w:type="dxa"/>
              <w:bottom w:w="0" w:type="dxa"/>
              <w:right w:w="20" w:type="dxa"/>
            </w:tcMar>
            <w:vAlign w:val="bottom"/>
          </w:tcPr>
          <w:p w14:paraId="75201E1D"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14</w:t>
            </w:r>
          </w:p>
        </w:tc>
        <w:tc>
          <w:tcPr>
            <w:tcW w:w="2551" w:type="dxa"/>
            <w:tcBorders>
              <w:top w:val="nil"/>
              <w:left w:val="nil"/>
              <w:bottom w:val="nil"/>
              <w:right w:val="nil"/>
            </w:tcBorders>
            <w:shd w:val="clear" w:color="auto" w:fill="F2F2F2"/>
            <w:tcMar>
              <w:top w:w="0" w:type="dxa"/>
              <w:left w:w="20" w:type="dxa"/>
              <w:bottom w:w="0" w:type="dxa"/>
              <w:right w:w="20" w:type="dxa"/>
            </w:tcMar>
            <w:vAlign w:val="bottom"/>
          </w:tcPr>
          <w:p w14:paraId="6C302D34"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2023-09-19T22:50:12</w:t>
            </w:r>
          </w:p>
        </w:tc>
        <w:tc>
          <w:tcPr>
            <w:tcW w:w="1644" w:type="dxa"/>
            <w:tcBorders>
              <w:top w:val="nil"/>
              <w:left w:val="nil"/>
              <w:bottom w:val="nil"/>
              <w:right w:val="nil"/>
            </w:tcBorders>
            <w:shd w:val="clear" w:color="auto" w:fill="F2F2F2"/>
            <w:tcMar>
              <w:top w:w="0" w:type="dxa"/>
              <w:left w:w="20" w:type="dxa"/>
              <w:bottom w:w="0" w:type="dxa"/>
              <w:right w:w="20" w:type="dxa"/>
            </w:tcMar>
            <w:vAlign w:val="bottom"/>
          </w:tcPr>
          <w:p w14:paraId="0F4308AC"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53.81</w:t>
            </w:r>
          </w:p>
        </w:tc>
        <w:tc>
          <w:tcPr>
            <w:tcW w:w="1361" w:type="dxa"/>
            <w:tcBorders>
              <w:top w:val="nil"/>
              <w:left w:val="nil"/>
              <w:bottom w:val="nil"/>
              <w:right w:val="nil"/>
            </w:tcBorders>
            <w:shd w:val="clear" w:color="auto" w:fill="F2F2F2"/>
            <w:tcMar>
              <w:top w:w="0" w:type="dxa"/>
              <w:left w:w="20" w:type="dxa"/>
              <w:bottom w:w="0" w:type="dxa"/>
              <w:right w:w="20" w:type="dxa"/>
            </w:tcMar>
            <w:vAlign w:val="bottom"/>
          </w:tcPr>
          <w:p w14:paraId="19B06DCD"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6.7</w:t>
            </w:r>
          </w:p>
        </w:tc>
        <w:tc>
          <w:tcPr>
            <w:tcW w:w="525" w:type="dxa"/>
            <w:tcBorders>
              <w:top w:val="nil"/>
              <w:left w:val="nil"/>
              <w:bottom w:val="nil"/>
              <w:right w:val="nil"/>
            </w:tcBorders>
            <w:shd w:val="clear" w:color="auto" w:fill="F2F2F2"/>
            <w:tcMar>
              <w:top w:w="0" w:type="dxa"/>
              <w:left w:w="20" w:type="dxa"/>
              <w:bottom w:w="0" w:type="dxa"/>
              <w:right w:w="20" w:type="dxa"/>
            </w:tcMar>
            <w:vAlign w:val="bottom"/>
          </w:tcPr>
          <w:p w14:paraId="2071179C"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3.2</w:t>
            </w:r>
          </w:p>
        </w:tc>
      </w:tr>
      <w:tr w:rsidR="007D17B2" w:rsidRPr="00780D2B" w14:paraId="3C0E7E49" w14:textId="77777777">
        <w:trPr>
          <w:trHeight w:val="285"/>
        </w:trPr>
        <w:tc>
          <w:tcPr>
            <w:tcW w:w="397" w:type="dxa"/>
            <w:tcBorders>
              <w:top w:val="nil"/>
              <w:left w:val="nil"/>
              <w:bottom w:val="nil"/>
              <w:right w:val="single" w:sz="6" w:space="0" w:color="000000"/>
            </w:tcBorders>
            <w:tcMar>
              <w:top w:w="0" w:type="dxa"/>
              <w:left w:w="20" w:type="dxa"/>
              <w:bottom w:w="0" w:type="dxa"/>
              <w:right w:w="20" w:type="dxa"/>
            </w:tcMar>
            <w:vAlign w:val="bottom"/>
          </w:tcPr>
          <w:p w14:paraId="7202D570"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15</w:t>
            </w:r>
          </w:p>
        </w:tc>
        <w:tc>
          <w:tcPr>
            <w:tcW w:w="2551" w:type="dxa"/>
            <w:tcBorders>
              <w:top w:val="nil"/>
              <w:left w:val="nil"/>
              <w:bottom w:val="nil"/>
              <w:right w:val="nil"/>
            </w:tcBorders>
            <w:tcMar>
              <w:top w:w="0" w:type="dxa"/>
              <w:left w:w="20" w:type="dxa"/>
              <w:bottom w:w="0" w:type="dxa"/>
              <w:right w:w="20" w:type="dxa"/>
            </w:tcMar>
            <w:vAlign w:val="bottom"/>
          </w:tcPr>
          <w:p w14:paraId="71C32ED5"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2023-09-19T23:02:15</w:t>
            </w:r>
          </w:p>
        </w:tc>
        <w:tc>
          <w:tcPr>
            <w:tcW w:w="1644" w:type="dxa"/>
            <w:tcBorders>
              <w:top w:val="nil"/>
              <w:left w:val="nil"/>
              <w:bottom w:val="nil"/>
              <w:right w:val="nil"/>
            </w:tcBorders>
            <w:tcMar>
              <w:top w:w="0" w:type="dxa"/>
              <w:left w:w="20" w:type="dxa"/>
              <w:bottom w:w="0" w:type="dxa"/>
              <w:right w:w="20" w:type="dxa"/>
            </w:tcMar>
            <w:vAlign w:val="bottom"/>
          </w:tcPr>
          <w:p w14:paraId="67E8990A"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53.33</w:t>
            </w:r>
          </w:p>
        </w:tc>
        <w:tc>
          <w:tcPr>
            <w:tcW w:w="1361" w:type="dxa"/>
            <w:tcBorders>
              <w:top w:val="nil"/>
              <w:left w:val="nil"/>
              <w:bottom w:val="nil"/>
              <w:right w:val="nil"/>
            </w:tcBorders>
            <w:tcMar>
              <w:top w:w="0" w:type="dxa"/>
              <w:left w:w="20" w:type="dxa"/>
              <w:bottom w:w="0" w:type="dxa"/>
              <w:right w:w="20" w:type="dxa"/>
            </w:tcMar>
            <w:vAlign w:val="bottom"/>
          </w:tcPr>
          <w:p w14:paraId="6143F19E"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7.1</w:t>
            </w:r>
          </w:p>
        </w:tc>
        <w:tc>
          <w:tcPr>
            <w:tcW w:w="525" w:type="dxa"/>
            <w:tcBorders>
              <w:top w:val="nil"/>
              <w:left w:val="nil"/>
              <w:bottom w:val="nil"/>
              <w:right w:val="nil"/>
            </w:tcBorders>
            <w:tcMar>
              <w:top w:w="0" w:type="dxa"/>
              <w:left w:w="20" w:type="dxa"/>
              <w:bottom w:w="0" w:type="dxa"/>
              <w:right w:w="20" w:type="dxa"/>
            </w:tcMar>
            <w:vAlign w:val="bottom"/>
          </w:tcPr>
          <w:p w14:paraId="06992433"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3</w:t>
            </w:r>
          </w:p>
        </w:tc>
      </w:tr>
      <w:tr w:rsidR="007D17B2" w:rsidRPr="00780D2B" w14:paraId="794B69E6" w14:textId="77777777">
        <w:trPr>
          <w:trHeight w:val="285"/>
        </w:trPr>
        <w:tc>
          <w:tcPr>
            <w:tcW w:w="397" w:type="dxa"/>
            <w:tcBorders>
              <w:top w:val="nil"/>
              <w:left w:val="nil"/>
              <w:bottom w:val="nil"/>
              <w:right w:val="single" w:sz="6" w:space="0" w:color="000000"/>
            </w:tcBorders>
            <w:shd w:val="clear" w:color="auto" w:fill="F2F2F2"/>
            <w:tcMar>
              <w:top w:w="0" w:type="dxa"/>
              <w:left w:w="20" w:type="dxa"/>
              <w:bottom w:w="0" w:type="dxa"/>
              <w:right w:w="20" w:type="dxa"/>
            </w:tcMar>
            <w:vAlign w:val="bottom"/>
          </w:tcPr>
          <w:p w14:paraId="130F947C"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16</w:t>
            </w:r>
          </w:p>
        </w:tc>
        <w:tc>
          <w:tcPr>
            <w:tcW w:w="2551" w:type="dxa"/>
            <w:tcBorders>
              <w:top w:val="nil"/>
              <w:left w:val="nil"/>
              <w:bottom w:val="nil"/>
              <w:right w:val="nil"/>
            </w:tcBorders>
            <w:shd w:val="clear" w:color="auto" w:fill="F2F2F2"/>
            <w:tcMar>
              <w:top w:w="0" w:type="dxa"/>
              <w:left w:w="20" w:type="dxa"/>
              <w:bottom w:w="0" w:type="dxa"/>
              <w:right w:w="20" w:type="dxa"/>
            </w:tcMar>
            <w:vAlign w:val="bottom"/>
          </w:tcPr>
          <w:p w14:paraId="57C003FB"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2023-10-25T13:45:37</w:t>
            </w:r>
          </w:p>
        </w:tc>
        <w:tc>
          <w:tcPr>
            <w:tcW w:w="1644" w:type="dxa"/>
            <w:tcBorders>
              <w:top w:val="nil"/>
              <w:left w:val="nil"/>
              <w:bottom w:val="nil"/>
              <w:right w:val="nil"/>
            </w:tcBorders>
            <w:shd w:val="clear" w:color="auto" w:fill="F2F2F2"/>
            <w:tcMar>
              <w:top w:w="0" w:type="dxa"/>
              <w:left w:w="20" w:type="dxa"/>
              <w:bottom w:w="0" w:type="dxa"/>
              <w:right w:w="20" w:type="dxa"/>
            </w:tcMar>
            <w:vAlign w:val="bottom"/>
          </w:tcPr>
          <w:p w14:paraId="7C659117"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56.47</w:t>
            </w:r>
          </w:p>
        </w:tc>
        <w:tc>
          <w:tcPr>
            <w:tcW w:w="1361" w:type="dxa"/>
            <w:tcBorders>
              <w:top w:val="nil"/>
              <w:left w:val="nil"/>
              <w:bottom w:val="nil"/>
              <w:right w:val="nil"/>
            </w:tcBorders>
            <w:shd w:val="clear" w:color="auto" w:fill="F2F2F2"/>
            <w:tcMar>
              <w:top w:w="0" w:type="dxa"/>
              <w:left w:w="20" w:type="dxa"/>
              <w:bottom w:w="0" w:type="dxa"/>
              <w:right w:w="20" w:type="dxa"/>
            </w:tcMar>
            <w:vAlign w:val="bottom"/>
          </w:tcPr>
          <w:p w14:paraId="5F7C288C"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8.5</w:t>
            </w:r>
          </w:p>
        </w:tc>
        <w:tc>
          <w:tcPr>
            <w:tcW w:w="525" w:type="dxa"/>
            <w:tcBorders>
              <w:top w:val="nil"/>
              <w:left w:val="nil"/>
              <w:bottom w:val="nil"/>
              <w:right w:val="nil"/>
            </w:tcBorders>
            <w:shd w:val="clear" w:color="auto" w:fill="F2F2F2"/>
            <w:tcMar>
              <w:top w:w="0" w:type="dxa"/>
              <w:left w:w="20" w:type="dxa"/>
              <w:bottom w:w="0" w:type="dxa"/>
              <w:right w:w="20" w:type="dxa"/>
            </w:tcMar>
            <w:vAlign w:val="bottom"/>
          </w:tcPr>
          <w:p w14:paraId="392C732D"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4.2</w:t>
            </w:r>
          </w:p>
        </w:tc>
      </w:tr>
      <w:tr w:rsidR="007D17B2" w:rsidRPr="00780D2B" w14:paraId="3CAE8164" w14:textId="77777777">
        <w:trPr>
          <w:trHeight w:val="285"/>
        </w:trPr>
        <w:tc>
          <w:tcPr>
            <w:tcW w:w="397" w:type="dxa"/>
            <w:tcBorders>
              <w:top w:val="nil"/>
              <w:left w:val="nil"/>
              <w:bottom w:val="nil"/>
              <w:right w:val="single" w:sz="6" w:space="0" w:color="000000"/>
            </w:tcBorders>
            <w:tcMar>
              <w:top w:w="0" w:type="dxa"/>
              <w:left w:w="20" w:type="dxa"/>
              <w:bottom w:w="0" w:type="dxa"/>
              <w:right w:w="20" w:type="dxa"/>
            </w:tcMar>
            <w:vAlign w:val="bottom"/>
          </w:tcPr>
          <w:p w14:paraId="5D2A939D"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17</w:t>
            </w:r>
          </w:p>
        </w:tc>
        <w:tc>
          <w:tcPr>
            <w:tcW w:w="2551" w:type="dxa"/>
            <w:tcBorders>
              <w:top w:val="nil"/>
              <w:left w:val="nil"/>
              <w:bottom w:val="nil"/>
              <w:right w:val="nil"/>
            </w:tcBorders>
            <w:tcMar>
              <w:top w:w="0" w:type="dxa"/>
              <w:left w:w="20" w:type="dxa"/>
              <w:bottom w:w="0" w:type="dxa"/>
              <w:right w:w="20" w:type="dxa"/>
            </w:tcMar>
            <w:vAlign w:val="bottom"/>
          </w:tcPr>
          <w:p w14:paraId="456DE000"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2023-10-28T15:29:23</w:t>
            </w:r>
          </w:p>
        </w:tc>
        <w:tc>
          <w:tcPr>
            <w:tcW w:w="1644" w:type="dxa"/>
            <w:tcBorders>
              <w:top w:val="nil"/>
              <w:left w:val="nil"/>
              <w:bottom w:val="nil"/>
              <w:right w:val="nil"/>
            </w:tcBorders>
            <w:tcMar>
              <w:top w:w="0" w:type="dxa"/>
              <w:left w:w="20" w:type="dxa"/>
              <w:bottom w:w="0" w:type="dxa"/>
              <w:right w:w="20" w:type="dxa"/>
            </w:tcMar>
            <w:vAlign w:val="bottom"/>
          </w:tcPr>
          <w:p w14:paraId="23374468"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56.34</w:t>
            </w:r>
          </w:p>
        </w:tc>
        <w:tc>
          <w:tcPr>
            <w:tcW w:w="1361" w:type="dxa"/>
            <w:tcBorders>
              <w:top w:val="nil"/>
              <w:left w:val="nil"/>
              <w:bottom w:val="nil"/>
              <w:right w:val="nil"/>
            </w:tcBorders>
            <w:tcMar>
              <w:top w:w="0" w:type="dxa"/>
              <w:left w:w="20" w:type="dxa"/>
              <w:bottom w:w="0" w:type="dxa"/>
              <w:right w:w="20" w:type="dxa"/>
            </w:tcMar>
            <w:vAlign w:val="bottom"/>
          </w:tcPr>
          <w:p w14:paraId="1A480C8C"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8.3</w:t>
            </w:r>
          </w:p>
        </w:tc>
        <w:tc>
          <w:tcPr>
            <w:tcW w:w="525" w:type="dxa"/>
            <w:tcBorders>
              <w:top w:val="nil"/>
              <w:left w:val="nil"/>
              <w:bottom w:val="nil"/>
              <w:right w:val="nil"/>
            </w:tcBorders>
            <w:tcMar>
              <w:top w:w="0" w:type="dxa"/>
              <w:left w:w="20" w:type="dxa"/>
              <w:bottom w:w="0" w:type="dxa"/>
              <w:right w:w="20" w:type="dxa"/>
            </w:tcMar>
            <w:vAlign w:val="bottom"/>
          </w:tcPr>
          <w:p w14:paraId="59160444"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4.2</w:t>
            </w:r>
          </w:p>
        </w:tc>
      </w:tr>
      <w:tr w:rsidR="007D17B2" w:rsidRPr="00780D2B" w14:paraId="26F9D9B1" w14:textId="77777777">
        <w:trPr>
          <w:trHeight w:val="285"/>
        </w:trPr>
        <w:tc>
          <w:tcPr>
            <w:tcW w:w="397" w:type="dxa"/>
            <w:tcBorders>
              <w:top w:val="nil"/>
              <w:left w:val="nil"/>
              <w:bottom w:val="nil"/>
              <w:right w:val="single" w:sz="6" w:space="0" w:color="000000"/>
            </w:tcBorders>
            <w:shd w:val="clear" w:color="auto" w:fill="F2F2F2"/>
            <w:tcMar>
              <w:top w:w="0" w:type="dxa"/>
              <w:left w:w="20" w:type="dxa"/>
              <w:bottom w:w="0" w:type="dxa"/>
              <w:right w:w="20" w:type="dxa"/>
            </w:tcMar>
            <w:vAlign w:val="bottom"/>
          </w:tcPr>
          <w:p w14:paraId="0DA6A742"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18</w:t>
            </w:r>
          </w:p>
        </w:tc>
        <w:tc>
          <w:tcPr>
            <w:tcW w:w="2551" w:type="dxa"/>
            <w:tcBorders>
              <w:top w:val="nil"/>
              <w:left w:val="nil"/>
              <w:bottom w:val="nil"/>
              <w:right w:val="nil"/>
            </w:tcBorders>
            <w:shd w:val="clear" w:color="auto" w:fill="F2F2F2"/>
            <w:tcMar>
              <w:top w:w="0" w:type="dxa"/>
              <w:left w:w="20" w:type="dxa"/>
              <w:bottom w:w="0" w:type="dxa"/>
              <w:right w:w="20" w:type="dxa"/>
            </w:tcMar>
            <w:vAlign w:val="bottom"/>
          </w:tcPr>
          <w:p w14:paraId="4D6B3EDB"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2023-10-30T05:25:54</w:t>
            </w:r>
          </w:p>
        </w:tc>
        <w:tc>
          <w:tcPr>
            <w:tcW w:w="1644" w:type="dxa"/>
            <w:tcBorders>
              <w:top w:val="nil"/>
              <w:left w:val="nil"/>
              <w:bottom w:val="nil"/>
              <w:right w:val="nil"/>
            </w:tcBorders>
            <w:shd w:val="clear" w:color="auto" w:fill="F2F2F2"/>
            <w:tcMar>
              <w:top w:w="0" w:type="dxa"/>
              <w:left w:w="20" w:type="dxa"/>
              <w:bottom w:w="0" w:type="dxa"/>
              <w:right w:w="20" w:type="dxa"/>
            </w:tcMar>
            <w:vAlign w:val="bottom"/>
          </w:tcPr>
          <w:p w14:paraId="26573406"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48.76</w:t>
            </w:r>
          </w:p>
        </w:tc>
        <w:tc>
          <w:tcPr>
            <w:tcW w:w="1361" w:type="dxa"/>
            <w:tcBorders>
              <w:top w:val="nil"/>
              <w:left w:val="nil"/>
              <w:bottom w:val="nil"/>
              <w:right w:val="nil"/>
            </w:tcBorders>
            <w:shd w:val="clear" w:color="auto" w:fill="F2F2F2"/>
            <w:tcMar>
              <w:top w:w="0" w:type="dxa"/>
              <w:left w:w="20" w:type="dxa"/>
              <w:bottom w:w="0" w:type="dxa"/>
              <w:right w:w="20" w:type="dxa"/>
            </w:tcMar>
            <w:vAlign w:val="bottom"/>
          </w:tcPr>
          <w:p w14:paraId="7A738332"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19.1</w:t>
            </w:r>
          </w:p>
        </w:tc>
        <w:tc>
          <w:tcPr>
            <w:tcW w:w="525" w:type="dxa"/>
            <w:tcBorders>
              <w:top w:val="nil"/>
              <w:left w:val="nil"/>
              <w:bottom w:val="nil"/>
              <w:right w:val="nil"/>
            </w:tcBorders>
            <w:shd w:val="clear" w:color="auto" w:fill="F2F2F2"/>
            <w:tcMar>
              <w:top w:w="0" w:type="dxa"/>
              <w:left w:w="20" w:type="dxa"/>
              <w:bottom w:w="0" w:type="dxa"/>
              <w:right w:w="20" w:type="dxa"/>
            </w:tcMar>
            <w:vAlign w:val="bottom"/>
          </w:tcPr>
          <w:p w14:paraId="3C7D1E22"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3.4</w:t>
            </w:r>
          </w:p>
        </w:tc>
      </w:tr>
      <w:tr w:rsidR="007D17B2" w:rsidRPr="00780D2B" w14:paraId="74F4F81E" w14:textId="77777777">
        <w:trPr>
          <w:trHeight w:val="285"/>
        </w:trPr>
        <w:tc>
          <w:tcPr>
            <w:tcW w:w="397" w:type="dxa"/>
            <w:tcBorders>
              <w:top w:val="nil"/>
              <w:left w:val="nil"/>
              <w:bottom w:val="nil"/>
              <w:right w:val="single" w:sz="6" w:space="0" w:color="000000"/>
            </w:tcBorders>
            <w:tcMar>
              <w:top w:w="0" w:type="dxa"/>
              <w:left w:w="20" w:type="dxa"/>
              <w:bottom w:w="0" w:type="dxa"/>
              <w:right w:w="20" w:type="dxa"/>
            </w:tcMar>
            <w:vAlign w:val="bottom"/>
          </w:tcPr>
          <w:p w14:paraId="5A211EE3"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19</w:t>
            </w:r>
          </w:p>
        </w:tc>
        <w:tc>
          <w:tcPr>
            <w:tcW w:w="2551" w:type="dxa"/>
            <w:tcBorders>
              <w:top w:val="nil"/>
              <w:left w:val="nil"/>
              <w:bottom w:val="nil"/>
              <w:right w:val="nil"/>
            </w:tcBorders>
            <w:tcMar>
              <w:top w:w="0" w:type="dxa"/>
              <w:left w:w="20" w:type="dxa"/>
              <w:bottom w:w="0" w:type="dxa"/>
              <w:right w:w="20" w:type="dxa"/>
            </w:tcMar>
            <w:vAlign w:val="bottom"/>
          </w:tcPr>
          <w:p w14:paraId="43AABE29"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2024-02-07T05:02:02</w:t>
            </w:r>
          </w:p>
        </w:tc>
        <w:tc>
          <w:tcPr>
            <w:tcW w:w="1644" w:type="dxa"/>
            <w:tcBorders>
              <w:top w:val="nil"/>
              <w:left w:val="nil"/>
              <w:bottom w:val="nil"/>
              <w:right w:val="nil"/>
            </w:tcBorders>
            <w:tcMar>
              <w:top w:w="0" w:type="dxa"/>
              <w:left w:w="20" w:type="dxa"/>
              <w:bottom w:w="0" w:type="dxa"/>
              <w:right w:w="20" w:type="dxa"/>
            </w:tcMar>
            <w:vAlign w:val="bottom"/>
          </w:tcPr>
          <w:p w14:paraId="084E009E"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76.89</w:t>
            </w:r>
          </w:p>
        </w:tc>
        <w:tc>
          <w:tcPr>
            <w:tcW w:w="1361" w:type="dxa"/>
            <w:tcBorders>
              <w:top w:val="nil"/>
              <w:left w:val="nil"/>
              <w:bottom w:val="nil"/>
              <w:right w:val="nil"/>
            </w:tcBorders>
            <w:tcMar>
              <w:top w:w="0" w:type="dxa"/>
              <w:left w:w="20" w:type="dxa"/>
              <w:bottom w:w="0" w:type="dxa"/>
              <w:right w:w="20" w:type="dxa"/>
            </w:tcMar>
            <w:vAlign w:val="bottom"/>
          </w:tcPr>
          <w:p w14:paraId="337A5915"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4.1</w:t>
            </w:r>
          </w:p>
        </w:tc>
        <w:tc>
          <w:tcPr>
            <w:tcW w:w="525" w:type="dxa"/>
            <w:tcBorders>
              <w:top w:val="nil"/>
              <w:left w:val="nil"/>
              <w:bottom w:val="nil"/>
              <w:right w:val="nil"/>
            </w:tcBorders>
            <w:tcMar>
              <w:top w:w="0" w:type="dxa"/>
              <w:left w:w="20" w:type="dxa"/>
              <w:bottom w:w="0" w:type="dxa"/>
              <w:right w:w="20" w:type="dxa"/>
            </w:tcMar>
            <w:vAlign w:val="bottom"/>
          </w:tcPr>
          <w:p w14:paraId="77B8507E"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3.2</w:t>
            </w:r>
          </w:p>
        </w:tc>
      </w:tr>
      <w:tr w:rsidR="007D17B2" w:rsidRPr="00780D2B" w14:paraId="4A34C0CE" w14:textId="77777777">
        <w:trPr>
          <w:trHeight w:val="285"/>
        </w:trPr>
        <w:tc>
          <w:tcPr>
            <w:tcW w:w="397" w:type="dxa"/>
            <w:tcBorders>
              <w:top w:val="nil"/>
              <w:left w:val="nil"/>
              <w:bottom w:val="nil"/>
              <w:right w:val="single" w:sz="6" w:space="0" w:color="000000"/>
            </w:tcBorders>
            <w:tcMar>
              <w:top w:w="0" w:type="dxa"/>
              <w:left w:w="20" w:type="dxa"/>
              <w:bottom w:w="0" w:type="dxa"/>
              <w:right w:w="20" w:type="dxa"/>
            </w:tcMar>
            <w:vAlign w:val="bottom"/>
          </w:tcPr>
          <w:p w14:paraId="74DF8AF6"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20</w:t>
            </w:r>
          </w:p>
        </w:tc>
        <w:tc>
          <w:tcPr>
            <w:tcW w:w="2551" w:type="dxa"/>
            <w:tcBorders>
              <w:top w:val="nil"/>
              <w:left w:val="nil"/>
              <w:bottom w:val="nil"/>
              <w:right w:val="nil"/>
            </w:tcBorders>
            <w:tcMar>
              <w:top w:w="0" w:type="dxa"/>
              <w:left w:w="20" w:type="dxa"/>
              <w:bottom w:w="0" w:type="dxa"/>
              <w:right w:w="20" w:type="dxa"/>
            </w:tcMar>
            <w:vAlign w:val="bottom"/>
          </w:tcPr>
          <w:p w14:paraId="3EE2E725"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2024-02-17T11:49:35</w:t>
            </w:r>
          </w:p>
        </w:tc>
        <w:tc>
          <w:tcPr>
            <w:tcW w:w="1644" w:type="dxa"/>
            <w:tcBorders>
              <w:top w:val="nil"/>
              <w:left w:val="nil"/>
              <w:bottom w:val="nil"/>
              <w:right w:val="nil"/>
            </w:tcBorders>
            <w:tcMar>
              <w:top w:w="0" w:type="dxa"/>
              <w:left w:w="20" w:type="dxa"/>
              <w:bottom w:w="0" w:type="dxa"/>
              <w:right w:w="20" w:type="dxa"/>
            </w:tcMar>
            <w:vAlign w:val="bottom"/>
          </w:tcPr>
          <w:p w14:paraId="21CA3FF3"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55.42</w:t>
            </w:r>
          </w:p>
        </w:tc>
        <w:tc>
          <w:tcPr>
            <w:tcW w:w="1361" w:type="dxa"/>
            <w:tcBorders>
              <w:top w:val="nil"/>
              <w:left w:val="nil"/>
              <w:bottom w:val="nil"/>
              <w:right w:val="nil"/>
            </w:tcBorders>
            <w:tcMar>
              <w:top w:w="0" w:type="dxa"/>
              <w:left w:w="20" w:type="dxa"/>
              <w:bottom w:w="0" w:type="dxa"/>
              <w:right w:w="20" w:type="dxa"/>
            </w:tcMar>
            <w:vAlign w:val="bottom"/>
          </w:tcPr>
          <w:p w14:paraId="67040805"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7.6</w:t>
            </w:r>
          </w:p>
        </w:tc>
        <w:tc>
          <w:tcPr>
            <w:tcW w:w="525" w:type="dxa"/>
            <w:tcBorders>
              <w:top w:val="nil"/>
              <w:left w:val="nil"/>
              <w:bottom w:val="nil"/>
              <w:right w:val="nil"/>
            </w:tcBorders>
            <w:tcMar>
              <w:top w:w="0" w:type="dxa"/>
              <w:left w:w="20" w:type="dxa"/>
              <w:bottom w:w="0" w:type="dxa"/>
              <w:right w:w="20" w:type="dxa"/>
            </w:tcMar>
            <w:vAlign w:val="bottom"/>
          </w:tcPr>
          <w:p w14:paraId="20B4913E"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3.5</w:t>
            </w:r>
          </w:p>
        </w:tc>
      </w:tr>
      <w:tr w:rsidR="007D17B2" w:rsidRPr="00780D2B" w14:paraId="757E2831" w14:textId="77777777">
        <w:trPr>
          <w:trHeight w:val="285"/>
        </w:trPr>
        <w:tc>
          <w:tcPr>
            <w:tcW w:w="397" w:type="dxa"/>
            <w:tcBorders>
              <w:top w:val="nil"/>
              <w:left w:val="nil"/>
              <w:bottom w:val="nil"/>
              <w:right w:val="single" w:sz="6" w:space="0" w:color="000000"/>
            </w:tcBorders>
            <w:shd w:val="clear" w:color="auto" w:fill="F2F2F2"/>
            <w:tcMar>
              <w:top w:w="0" w:type="dxa"/>
              <w:left w:w="20" w:type="dxa"/>
              <w:bottom w:w="0" w:type="dxa"/>
              <w:right w:w="20" w:type="dxa"/>
            </w:tcMar>
            <w:vAlign w:val="bottom"/>
          </w:tcPr>
          <w:p w14:paraId="64D56B09"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21</w:t>
            </w:r>
          </w:p>
        </w:tc>
        <w:tc>
          <w:tcPr>
            <w:tcW w:w="2551" w:type="dxa"/>
            <w:tcBorders>
              <w:top w:val="nil"/>
              <w:left w:val="nil"/>
              <w:bottom w:val="nil"/>
              <w:right w:val="nil"/>
            </w:tcBorders>
            <w:shd w:val="clear" w:color="auto" w:fill="F2F2F2"/>
            <w:tcMar>
              <w:top w:w="0" w:type="dxa"/>
              <w:left w:w="20" w:type="dxa"/>
              <w:bottom w:w="0" w:type="dxa"/>
              <w:right w:w="20" w:type="dxa"/>
            </w:tcMar>
            <w:vAlign w:val="bottom"/>
          </w:tcPr>
          <w:p w14:paraId="6A782E0E"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2024-04-26T22:58:47</w:t>
            </w:r>
          </w:p>
        </w:tc>
        <w:tc>
          <w:tcPr>
            <w:tcW w:w="1644" w:type="dxa"/>
            <w:tcBorders>
              <w:top w:val="nil"/>
              <w:left w:val="nil"/>
              <w:bottom w:val="nil"/>
              <w:right w:val="nil"/>
            </w:tcBorders>
            <w:shd w:val="clear" w:color="auto" w:fill="F2F2F2"/>
            <w:tcMar>
              <w:top w:w="0" w:type="dxa"/>
              <w:left w:w="20" w:type="dxa"/>
              <w:bottom w:w="0" w:type="dxa"/>
              <w:right w:w="20" w:type="dxa"/>
            </w:tcMar>
            <w:vAlign w:val="bottom"/>
          </w:tcPr>
          <w:p w14:paraId="1F8BBD9C"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55.97</w:t>
            </w:r>
          </w:p>
        </w:tc>
        <w:tc>
          <w:tcPr>
            <w:tcW w:w="1361" w:type="dxa"/>
            <w:tcBorders>
              <w:top w:val="nil"/>
              <w:left w:val="nil"/>
              <w:bottom w:val="nil"/>
              <w:right w:val="nil"/>
            </w:tcBorders>
            <w:shd w:val="clear" w:color="auto" w:fill="F2F2F2"/>
            <w:tcMar>
              <w:top w:w="0" w:type="dxa"/>
              <w:left w:w="20" w:type="dxa"/>
              <w:bottom w:w="0" w:type="dxa"/>
              <w:right w:w="20" w:type="dxa"/>
            </w:tcMar>
            <w:vAlign w:val="bottom"/>
          </w:tcPr>
          <w:p w14:paraId="4EF5BA13"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9.5</w:t>
            </w:r>
          </w:p>
        </w:tc>
        <w:tc>
          <w:tcPr>
            <w:tcW w:w="525" w:type="dxa"/>
            <w:tcBorders>
              <w:top w:val="nil"/>
              <w:left w:val="nil"/>
              <w:bottom w:val="nil"/>
              <w:right w:val="nil"/>
            </w:tcBorders>
            <w:shd w:val="clear" w:color="auto" w:fill="F2F2F2"/>
            <w:tcMar>
              <w:top w:w="0" w:type="dxa"/>
              <w:left w:w="20" w:type="dxa"/>
              <w:bottom w:w="0" w:type="dxa"/>
              <w:right w:w="20" w:type="dxa"/>
            </w:tcMar>
            <w:vAlign w:val="bottom"/>
          </w:tcPr>
          <w:p w14:paraId="43F051C7"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3.1</w:t>
            </w:r>
          </w:p>
        </w:tc>
      </w:tr>
      <w:tr w:rsidR="007D17B2" w:rsidRPr="00780D2B" w14:paraId="6A24D2FA" w14:textId="77777777">
        <w:trPr>
          <w:trHeight w:val="285"/>
        </w:trPr>
        <w:tc>
          <w:tcPr>
            <w:tcW w:w="397" w:type="dxa"/>
            <w:tcBorders>
              <w:top w:val="nil"/>
              <w:left w:val="nil"/>
              <w:bottom w:val="nil"/>
              <w:right w:val="single" w:sz="6" w:space="0" w:color="000000"/>
            </w:tcBorders>
            <w:tcMar>
              <w:top w:w="0" w:type="dxa"/>
              <w:left w:w="20" w:type="dxa"/>
              <w:bottom w:w="0" w:type="dxa"/>
              <w:right w:w="20" w:type="dxa"/>
            </w:tcMar>
            <w:vAlign w:val="bottom"/>
          </w:tcPr>
          <w:p w14:paraId="03D8C508"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lastRenderedPageBreak/>
              <w:t>22</w:t>
            </w:r>
          </w:p>
        </w:tc>
        <w:tc>
          <w:tcPr>
            <w:tcW w:w="2551" w:type="dxa"/>
            <w:tcBorders>
              <w:top w:val="nil"/>
              <w:left w:val="nil"/>
              <w:bottom w:val="nil"/>
              <w:right w:val="nil"/>
            </w:tcBorders>
            <w:tcMar>
              <w:top w:w="0" w:type="dxa"/>
              <w:left w:w="20" w:type="dxa"/>
              <w:bottom w:w="0" w:type="dxa"/>
              <w:right w:w="20" w:type="dxa"/>
            </w:tcMar>
            <w:vAlign w:val="bottom"/>
          </w:tcPr>
          <w:p w14:paraId="2E0B86AB"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2024-04-26T23:56:24</w:t>
            </w:r>
          </w:p>
        </w:tc>
        <w:tc>
          <w:tcPr>
            <w:tcW w:w="1644" w:type="dxa"/>
            <w:tcBorders>
              <w:top w:val="nil"/>
              <w:left w:val="nil"/>
              <w:bottom w:val="nil"/>
              <w:right w:val="nil"/>
            </w:tcBorders>
            <w:tcMar>
              <w:top w:w="0" w:type="dxa"/>
              <w:left w:w="20" w:type="dxa"/>
              <w:bottom w:w="0" w:type="dxa"/>
              <w:right w:w="20" w:type="dxa"/>
            </w:tcMar>
            <w:vAlign w:val="bottom"/>
          </w:tcPr>
          <w:p w14:paraId="0B3A21E5"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54.95</w:t>
            </w:r>
          </w:p>
        </w:tc>
        <w:tc>
          <w:tcPr>
            <w:tcW w:w="1361" w:type="dxa"/>
            <w:tcBorders>
              <w:top w:val="nil"/>
              <w:left w:val="nil"/>
              <w:bottom w:val="nil"/>
              <w:right w:val="nil"/>
            </w:tcBorders>
            <w:tcMar>
              <w:top w:w="0" w:type="dxa"/>
              <w:left w:w="20" w:type="dxa"/>
              <w:bottom w:w="0" w:type="dxa"/>
              <w:right w:w="20" w:type="dxa"/>
            </w:tcMar>
            <w:vAlign w:val="bottom"/>
          </w:tcPr>
          <w:p w14:paraId="50330484"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9.7</w:t>
            </w:r>
          </w:p>
        </w:tc>
        <w:tc>
          <w:tcPr>
            <w:tcW w:w="525" w:type="dxa"/>
            <w:tcBorders>
              <w:top w:val="nil"/>
              <w:left w:val="nil"/>
              <w:bottom w:val="nil"/>
              <w:right w:val="nil"/>
            </w:tcBorders>
            <w:tcMar>
              <w:top w:w="0" w:type="dxa"/>
              <w:left w:w="20" w:type="dxa"/>
              <w:bottom w:w="0" w:type="dxa"/>
              <w:right w:w="20" w:type="dxa"/>
            </w:tcMar>
            <w:vAlign w:val="bottom"/>
          </w:tcPr>
          <w:p w14:paraId="504109E1"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3</w:t>
            </w:r>
          </w:p>
        </w:tc>
      </w:tr>
      <w:tr w:rsidR="007D17B2" w:rsidRPr="00780D2B" w14:paraId="4EC43549" w14:textId="77777777">
        <w:trPr>
          <w:trHeight w:val="285"/>
        </w:trPr>
        <w:tc>
          <w:tcPr>
            <w:tcW w:w="397" w:type="dxa"/>
            <w:tcBorders>
              <w:top w:val="nil"/>
              <w:left w:val="nil"/>
              <w:bottom w:val="nil"/>
              <w:right w:val="single" w:sz="6" w:space="0" w:color="000000"/>
            </w:tcBorders>
            <w:shd w:val="clear" w:color="auto" w:fill="F2F2F2"/>
            <w:tcMar>
              <w:top w:w="0" w:type="dxa"/>
              <w:left w:w="20" w:type="dxa"/>
              <w:bottom w:w="0" w:type="dxa"/>
              <w:right w:w="20" w:type="dxa"/>
            </w:tcMar>
            <w:vAlign w:val="bottom"/>
          </w:tcPr>
          <w:p w14:paraId="21BEC3A6"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23</w:t>
            </w:r>
          </w:p>
        </w:tc>
        <w:tc>
          <w:tcPr>
            <w:tcW w:w="2551" w:type="dxa"/>
            <w:tcBorders>
              <w:top w:val="nil"/>
              <w:left w:val="nil"/>
              <w:bottom w:val="nil"/>
              <w:right w:val="nil"/>
            </w:tcBorders>
            <w:shd w:val="clear" w:color="auto" w:fill="F2F2F2"/>
            <w:tcMar>
              <w:top w:w="0" w:type="dxa"/>
              <w:left w:w="20" w:type="dxa"/>
              <w:bottom w:w="0" w:type="dxa"/>
              <w:right w:w="20" w:type="dxa"/>
            </w:tcMar>
            <w:vAlign w:val="bottom"/>
          </w:tcPr>
          <w:p w14:paraId="2E647054"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2024-08-18T20:19:47</w:t>
            </w:r>
          </w:p>
        </w:tc>
        <w:tc>
          <w:tcPr>
            <w:tcW w:w="1644" w:type="dxa"/>
            <w:tcBorders>
              <w:top w:val="nil"/>
              <w:left w:val="nil"/>
              <w:bottom w:val="nil"/>
              <w:right w:val="nil"/>
            </w:tcBorders>
            <w:shd w:val="clear" w:color="auto" w:fill="F2F2F2"/>
            <w:tcMar>
              <w:top w:w="0" w:type="dxa"/>
              <w:left w:w="20" w:type="dxa"/>
              <w:bottom w:w="0" w:type="dxa"/>
              <w:right w:w="20" w:type="dxa"/>
            </w:tcMar>
            <w:vAlign w:val="bottom"/>
          </w:tcPr>
          <w:p w14:paraId="5E3602C2"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65.64</w:t>
            </w:r>
          </w:p>
        </w:tc>
        <w:tc>
          <w:tcPr>
            <w:tcW w:w="1361" w:type="dxa"/>
            <w:tcBorders>
              <w:top w:val="nil"/>
              <w:left w:val="nil"/>
              <w:bottom w:val="nil"/>
              <w:right w:val="nil"/>
            </w:tcBorders>
            <w:shd w:val="clear" w:color="auto" w:fill="F2F2F2"/>
            <w:tcMar>
              <w:top w:w="0" w:type="dxa"/>
              <w:left w:w="20" w:type="dxa"/>
              <w:bottom w:w="0" w:type="dxa"/>
              <w:right w:w="20" w:type="dxa"/>
            </w:tcMar>
            <w:vAlign w:val="bottom"/>
          </w:tcPr>
          <w:p w14:paraId="5914A7D0"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59.9</w:t>
            </w:r>
          </w:p>
        </w:tc>
        <w:tc>
          <w:tcPr>
            <w:tcW w:w="525" w:type="dxa"/>
            <w:tcBorders>
              <w:top w:val="nil"/>
              <w:left w:val="nil"/>
              <w:bottom w:val="nil"/>
              <w:right w:val="nil"/>
            </w:tcBorders>
            <w:shd w:val="clear" w:color="auto" w:fill="F2F2F2"/>
            <w:tcMar>
              <w:top w:w="0" w:type="dxa"/>
              <w:left w:w="20" w:type="dxa"/>
              <w:bottom w:w="0" w:type="dxa"/>
              <w:right w:w="20" w:type="dxa"/>
            </w:tcMar>
            <w:vAlign w:val="bottom"/>
          </w:tcPr>
          <w:p w14:paraId="0876C084"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3.2</w:t>
            </w:r>
          </w:p>
        </w:tc>
      </w:tr>
      <w:tr w:rsidR="007D17B2" w:rsidRPr="00780D2B" w14:paraId="68C6A952" w14:textId="77777777">
        <w:trPr>
          <w:trHeight w:val="285"/>
        </w:trPr>
        <w:tc>
          <w:tcPr>
            <w:tcW w:w="397" w:type="dxa"/>
            <w:tcBorders>
              <w:top w:val="nil"/>
              <w:left w:val="nil"/>
              <w:bottom w:val="nil"/>
              <w:right w:val="single" w:sz="6" w:space="0" w:color="000000"/>
            </w:tcBorders>
            <w:tcMar>
              <w:top w:w="0" w:type="dxa"/>
              <w:left w:w="20" w:type="dxa"/>
              <w:bottom w:w="0" w:type="dxa"/>
              <w:right w:w="20" w:type="dxa"/>
            </w:tcMar>
            <w:vAlign w:val="bottom"/>
          </w:tcPr>
          <w:p w14:paraId="583D073D"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24</w:t>
            </w:r>
          </w:p>
        </w:tc>
        <w:tc>
          <w:tcPr>
            <w:tcW w:w="2551" w:type="dxa"/>
            <w:tcBorders>
              <w:top w:val="nil"/>
              <w:left w:val="nil"/>
              <w:bottom w:val="nil"/>
              <w:right w:val="nil"/>
            </w:tcBorders>
            <w:tcMar>
              <w:top w:w="0" w:type="dxa"/>
              <w:left w:w="20" w:type="dxa"/>
              <w:bottom w:w="0" w:type="dxa"/>
              <w:right w:w="20" w:type="dxa"/>
            </w:tcMar>
            <w:vAlign w:val="bottom"/>
          </w:tcPr>
          <w:p w14:paraId="384B8135"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2024-08-18T23:30:50</w:t>
            </w:r>
          </w:p>
        </w:tc>
        <w:tc>
          <w:tcPr>
            <w:tcW w:w="1644" w:type="dxa"/>
            <w:tcBorders>
              <w:top w:val="nil"/>
              <w:left w:val="nil"/>
              <w:bottom w:val="nil"/>
              <w:right w:val="nil"/>
            </w:tcBorders>
            <w:tcMar>
              <w:top w:w="0" w:type="dxa"/>
              <w:left w:w="20" w:type="dxa"/>
              <w:bottom w:w="0" w:type="dxa"/>
              <w:right w:w="20" w:type="dxa"/>
            </w:tcMar>
            <w:vAlign w:val="bottom"/>
          </w:tcPr>
          <w:p w14:paraId="43A8A41F"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69.33</w:t>
            </w:r>
          </w:p>
        </w:tc>
        <w:tc>
          <w:tcPr>
            <w:tcW w:w="1361" w:type="dxa"/>
            <w:tcBorders>
              <w:top w:val="nil"/>
              <w:left w:val="nil"/>
              <w:bottom w:val="nil"/>
              <w:right w:val="nil"/>
            </w:tcBorders>
            <w:tcMar>
              <w:top w:w="0" w:type="dxa"/>
              <w:left w:w="20" w:type="dxa"/>
              <w:bottom w:w="0" w:type="dxa"/>
              <w:right w:w="20" w:type="dxa"/>
            </w:tcMar>
            <w:vAlign w:val="bottom"/>
          </w:tcPr>
          <w:p w14:paraId="37AD193F"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36.1</w:t>
            </w:r>
          </w:p>
        </w:tc>
        <w:tc>
          <w:tcPr>
            <w:tcW w:w="525" w:type="dxa"/>
            <w:tcBorders>
              <w:top w:val="nil"/>
              <w:left w:val="nil"/>
              <w:bottom w:val="nil"/>
              <w:right w:val="nil"/>
            </w:tcBorders>
            <w:tcMar>
              <w:top w:w="0" w:type="dxa"/>
              <w:left w:w="20" w:type="dxa"/>
              <w:bottom w:w="0" w:type="dxa"/>
              <w:right w:w="20" w:type="dxa"/>
            </w:tcMar>
            <w:vAlign w:val="bottom"/>
          </w:tcPr>
          <w:p w14:paraId="06AE5384"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3</w:t>
            </w:r>
          </w:p>
        </w:tc>
      </w:tr>
      <w:tr w:rsidR="007D17B2" w:rsidRPr="00780D2B" w14:paraId="11CD5333" w14:textId="77777777">
        <w:trPr>
          <w:trHeight w:val="285"/>
        </w:trPr>
        <w:tc>
          <w:tcPr>
            <w:tcW w:w="397" w:type="dxa"/>
            <w:tcBorders>
              <w:top w:val="nil"/>
              <w:left w:val="nil"/>
              <w:bottom w:val="nil"/>
              <w:right w:val="single" w:sz="6" w:space="0" w:color="000000"/>
            </w:tcBorders>
            <w:shd w:val="clear" w:color="auto" w:fill="F2F2F2"/>
            <w:tcMar>
              <w:top w:w="0" w:type="dxa"/>
              <w:left w:w="20" w:type="dxa"/>
              <w:bottom w:w="0" w:type="dxa"/>
              <w:right w:w="20" w:type="dxa"/>
            </w:tcMar>
            <w:vAlign w:val="bottom"/>
          </w:tcPr>
          <w:p w14:paraId="285A9BBD"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25</w:t>
            </w:r>
          </w:p>
        </w:tc>
        <w:tc>
          <w:tcPr>
            <w:tcW w:w="2551" w:type="dxa"/>
            <w:tcBorders>
              <w:top w:val="nil"/>
              <w:left w:val="nil"/>
              <w:bottom w:val="nil"/>
              <w:right w:val="nil"/>
            </w:tcBorders>
            <w:shd w:val="clear" w:color="auto" w:fill="F2F2F2"/>
            <w:tcMar>
              <w:top w:w="0" w:type="dxa"/>
              <w:left w:w="20" w:type="dxa"/>
              <w:bottom w:w="0" w:type="dxa"/>
              <w:right w:w="20" w:type="dxa"/>
            </w:tcMar>
            <w:vAlign w:val="bottom"/>
          </w:tcPr>
          <w:p w14:paraId="3715592F"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2024-08-24T11:34:43</w:t>
            </w:r>
          </w:p>
        </w:tc>
        <w:tc>
          <w:tcPr>
            <w:tcW w:w="1644" w:type="dxa"/>
            <w:tcBorders>
              <w:top w:val="nil"/>
              <w:left w:val="nil"/>
              <w:bottom w:val="nil"/>
              <w:right w:val="nil"/>
            </w:tcBorders>
            <w:shd w:val="clear" w:color="auto" w:fill="F2F2F2"/>
            <w:tcMar>
              <w:top w:w="0" w:type="dxa"/>
              <w:left w:w="20" w:type="dxa"/>
              <w:bottom w:w="0" w:type="dxa"/>
              <w:right w:w="20" w:type="dxa"/>
            </w:tcMar>
            <w:vAlign w:val="bottom"/>
          </w:tcPr>
          <w:p w14:paraId="490B2A67"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38.72</w:t>
            </w:r>
          </w:p>
        </w:tc>
        <w:tc>
          <w:tcPr>
            <w:tcW w:w="1361" w:type="dxa"/>
            <w:tcBorders>
              <w:top w:val="nil"/>
              <w:left w:val="nil"/>
              <w:bottom w:val="nil"/>
              <w:right w:val="nil"/>
            </w:tcBorders>
            <w:shd w:val="clear" w:color="auto" w:fill="F2F2F2"/>
            <w:tcMar>
              <w:top w:w="0" w:type="dxa"/>
              <w:left w:w="20" w:type="dxa"/>
              <w:bottom w:w="0" w:type="dxa"/>
              <w:right w:w="20" w:type="dxa"/>
            </w:tcMar>
            <w:vAlign w:val="bottom"/>
          </w:tcPr>
          <w:p w14:paraId="4C669273"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21.8</w:t>
            </w:r>
          </w:p>
        </w:tc>
        <w:tc>
          <w:tcPr>
            <w:tcW w:w="525" w:type="dxa"/>
            <w:tcBorders>
              <w:top w:val="nil"/>
              <w:left w:val="nil"/>
              <w:bottom w:val="nil"/>
              <w:right w:val="nil"/>
            </w:tcBorders>
            <w:shd w:val="clear" w:color="auto" w:fill="F2F2F2"/>
            <w:tcMar>
              <w:top w:w="0" w:type="dxa"/>
              <w:left w:w="20" w:type="dxa"/>
              <w:bottom w:w="0" w:type="dxa"/>
              <w:right w:w="20" w:type="dxa"/>
            </w:tcMar>
            <w:vAlign w:val="bottom"/>
          </w:tcPr>
          <w:p w14:paraId="160D283C"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3.2</w:t>
            </w:r>
          </w:p>
        </w:tc>
      </w:tr>
      <w:tr w:rsidR="007D17B2" w:rsidRPr="00780D2B" w14:paraId="675FE92C" w14:textId="77777777">
        <w:trPr>
          <w:trHeight w:val="285"/>
        </w:trPr>
        <w:tc>
          <w:tcPr>
            <w:tcW w:w="397" w:type="dxa"/>
            <w:tcBorders>
              <w:top w:val="nil"/>
              <w:left w:val="nil"/>
              <w:bottom w:val="nil"/>
              <w:right w:val="single" w:sz="6" w:space="0" w:color="000000"/>
            </w:tcBorders>
            <w:tcMar>
              <w:top w:w="0" w:type="dxa"/>
              <w:left w:w="20" w:type="dxa"/>
              <w:bottom w:w="0" w:type="dxa"/>
              <w:right w:w="20" w:type="dxa"/>
            </w:tcMar>
            <w:vAlign w:val="bottom"/>
          </w:tcPr>
          <w:p w14:paraId="0CFD975C"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26</w:t>
            </w:r>
          </w:p>
        </w:tc>
        <w:tc>
          <w:tcPr>
            <w:tcW w:w="2551" w:type="dxa"/>
            <w:tcBorders>
              <w:top w:val="nil"/>
              <w:left w:val="nil"/>
              <w:bottom w:val="nil"/>
              <w:right w:val="nil"/>
            </w:tcBorders>
            <w:tcMar>
              <w:top w:w="0" w:type="dxa"/>
              <w:left w:w="20" w:type="dxa"/>
              <w:bottom w:w="0" w:type="dxa"/>
              <w:right w:w="20" w:type="dxa"/>
            </w:tcMar>
            <w:vAlign w:val="bottom"/>
          </w:tcPr>
          <w:p w14:paraId="77A45100"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2024-08-25T23:45:43</w:t>
            </w:r>
          </w:p>
        </w:tc>
        <w:tc>
          <w:tcPr>
            <w:tcW w:w="1644" w:type="dxa"/>
            <w:tcBorders>
              <w:top w:val="nil"/>
              <w:left w:val="nil"/>
              <w:bottom w:val="nil"/>
              <w:right w:val="nil"/>
            </w:tcBorders>
            <w:tcMar>
              <w:top w:w="0" w:type="dxa"/>
              <w:left w:w="20" w:type="dxa"/>
              <w:bottom w:w="0" w:type="dxa"/>
              <w:right w:w="20" w:type="dxa"/>
            </w:tcMar>
            <w:vAlign w:val="bottom"/>
          </w:tcPr>
          <w:p w14:paraId="75C4701F"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36.11</w:t>
            </w:r>
          </w:p>
        </w:tc>
        <w:tc>
          <w:tcPr>
            <w:tcW w:w="1361" w:type="dxa"/>
            <w:tcBorders>
              <w:top w:val="nil"/>
              <w:left w:val="nil"/>
              <w:bottom w:val="nil"/>
              <w:right w:val="nil"/>
            </w:tcBorders>
            <w:tcMar>
              <w:top w:w="0" w:type="dxa"/>
              <w:left w:w="20" w:type="dxa"/>
              <w:bottom w:w="0" w:type="dxa"/>
              <w:right w:w="20" w:type="dxa"/>
            </w:tcMar>
            <w:vAlign w:val="bottom"/>
          </w:tcPr>
          <w:p w14:paraId="0C0E50AC"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24.5</w:t>
            </w:r>
          </w:p>
        </w:tc>
        <w:tc>
          <w:tcPr>
            <w:tcW w:w="525" w:type="dxa"/>
            <w:tcBorders>
              <w:top w:val="nil"/>
              <w:left w:val="nil"/>
              <w:bottom w:val="nil"/>
              <w:right w:val="nil"/>
            </w:tcBorders>
            <w:tcMar>
              <w:top w:w="0" w:type="dxa"/>
              <w:left w:w="20" w:type="dxa"/>
              <w:bottom w:w="0" w:type="dxa"/>
              <w:right w:w="20" w:type="dxa"/>
            </w:tcMar>
            <w:vAlign w:val="bottom"/>
          </w:tcPr>
          <w:p w14:paraId="1C399042"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3.8</w:t>
            </w:r>
          </w:p>
        </w:tc>
      </w:tr>
      <w:tr w:rsidR="007D17B2" w:rsidRPr="00780D2B" w14:paraId="6E602620" w14:textId="77777777">
        <w:trPr>
          <w:trHeight w:val="285"/>
        </w:trPr>
        <w:tc>
          <w:tcPr>
            <w:tcW w:w="397" w:type="dxa"/>
            <w:tcBorders>
              <w:top w:val="nil"/>
              <w:left w:val="nil"/>
              <w:bottom w:val="nil"/>
              <w:right w:val="single" w:sz="6" w:space="0" w:color="000000"/>
            </w:tcBorders>
            <w:shd w:val="clear" w:color="auto" w:fill="F2F2F2"/>
            <w:tcMar>
              <w:top w:w="0" w:type="dxa"/>
              <w:left w:w="20" w:type="dxa"/>
              <w:bottom w:w="0" w:type="dxa"/>
              <w:right w:w="20" w:type="dxa"/>
            </w:tcMar>
            <w:vAlign w:val="bottom"/>
          </w:tcPr>
          <w:p w14:paraId="65813BD6"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27</w:t>
            </w:r>
          </w:p>
        </w:tc>
        <w:tc>
          <w:tcPr>
            <w:tcW w:w="2551" w:type="dxa"/>
            <w:tcBorders>
              <w:top w:val="nil"/>
              <w:left w:val="nil"/>
              <w:bottom w:val="nil"/>
              <w:right w:val="nil"/>
            </w:tcBorders>
            <w:shd w:val="clear" w:color="auto" w:fill="F2F2F2"/>
            <w:tcMar>
              <w:top w:w="0" w:type="dxa"/>
              <w:left w:w="20" w:type="dxa"/>
              <w:bottom w:w="0" w:type="dxa"/>
              <w:right w:w="20" w:type="dxa"/>
            </w:tcMar>
            <w:vAlign w:val="bottom"/>
          </w:tcPr>
          <w:p w14:paraId="29E16E70"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2024-12-16T09:16:43</w:t>
            </w:r>
          </w:p>
        </w:tc>
        <w:tc>
          <w:tcPr>
            <w:tcW w:w="1644" w:type="dxa"/>
            <w:tcBorders>
              <w:top w:val="nil"/>
              <w:left w:val="nil"/>
              <w:bottom w:val="nil"/>
              <w:right w:val="nil"/>
            </w:tcBorders>
            <w:shd w:val="clear" w:color="auto" w:fill="F2F2F2"/>
            <w:tcMar>
              <w:top w:w="0" w:type="dxa"/>
              <w:left w:w="20" w:type="dxa"/>
              <w:bottom w:w="0" w:type="dxa"/>
              <w:right w:w="20" w:type="dxa"/>
            </w:tcMar>
            <w:vAlign w:val="bottom"/>
          </w:tcPr>
          <w:p w14:paraId="48569587"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57.22</w:t>
            </w:r>
          </w:p>
        </w:tc>
        <w:tc>
          <w:tcPr>
            <w:tcW w:w="1361" w:type="dxa"/>
            <w:tcBorders>
              <w:top w:val="nil"/>
              <w:left w:val="nil"/>
              <w:bottom w:val="nil"/>
              <w:right w:val="nil"/>
            </w:tcBorders>
            <w:shd w:val="clear" w:color="auto" w:fill="F2F2F2"/>
            <w:tcMar>
              <w:top w:w="0" w:type="dxa"/>
              <w:left w:w="20" w:type="dxa"/>
              <w:bottom w:w="0" w:type="dxa"/>
              <w:right w:w="20" w:type="dxa"/>
            </w:tcMar>
            <w:vAlign w:val="bottom"/>
          </w:tcPr>
          <w:p w14:paraId="3CB349E3"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24.1</w:t>
            </w:r>
          </w:p>
        </w:tc>
        <w:tc>
          <w:tcPr>
            <w:tcW w:w="525" w:type="dxa"/>
            <w:tcBorders>
              <w:top w:val="nil"/>
              <w:left w:val="nil"/>
              <w:bottom w:val="nil"/>
              <w:right w:val="nil"/>
            </w:tcBorders>
            <w:shd w:val="clear" w:color="auto" w:fill="F2F2F2"/>
            <w:tcMar>
              <w:top w:w="0" w:type="dxa"/>
              <w:left w:w="20" w:type="dxa"/>
              <w:bottom w:w="0" w:type="dxa"/>
              <w:right w:w="20" w:type="dxa"/>
            </w:tcMar>
            <w:vAlign w:val="bottom"/>
          </w:tcPr>
          <w:p w14:paraId="45266E3E"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3</w:t>
            </w:r>
          </w:p>
        </w:tc>
      </w:tr>
      <w:tr w:rsidR="007D17B2" w:rsidRPr="00780D2B" w14:paraId="5C992B26" w14:textId="77777777">
        <w:trPr>
          <w:trHeight w:val="285"/>
        </w:trPr>
        <w:tc>
          <w:tcPr>
            <w:tcW w:w="397" w:type="dxa"/>
            <w:tcBorders>
              <w:top w:val="nil"/>
              <w:left w:val="nil"/>
              <w:bottom w:val="nil"/>
              <w:right w:val="single" w:sz="6" w:space="0" w:color="000000"/>
            </w:tcBorders>
            <w:tcMar>
              <w:top w:w="0" w:type="dxa"/>
              <w:left w:w="20" w:type="dxa"/>
              <w:bottom w:w="0" w:type="dxa"/>
              <w:right w:w="20" w:type="dxa"/>
            </w:tcMar>
            <w:vAlign w:val="bottom"/>
          </w:tcPr>
          <w:p w14:paraId="79A37F26"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28</w:t>
            </w:r>
          </w:p>
        </w:tc>
        <w:tc>
          <w:tcPr>
            <w:tcW w:w="2551" w:type="dxa"/>
            <w:tcBorders>
              <w:top w:val="nil"/>
              <w:left w:val="nil"/>
              <w:bottom w:val="nil"/>
              <w:right w:val="nil"/>
            </w:tcBorders>
            <w:tcMar>
              <w:top w:w="0" w:type="dxa"/>
              <w:left w:w="20" w:type="dxa"/>
              <w:bottom w:w="0" w:type="dxa"/>
              <w:right w:w="20" w:type="dxa"/>
            </w:tcMar>
            <w:vAlign w:val="bottom"/>
          </w:tcPr>
          <w:p w14:paraId="1051D9CE"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2025-01-15T15:34:51</w:t>
            </w:r>
          </w:p>
        </w:tc>
        <w:tc>
          <w:tcPr>
            <w:tcW w:w="1644" w:type="dxa"/>
            <w:tcBorders>
              <w:top w:val="nil"/>
              <w:left w:val="nil"/>
              <w:bottom w:val="nil"/>
              <w:right w:val="nil"/>
            </w:tcBorders>
            <w:tcMar>
              <w:top w:w="0" w:type="dxa"/>
              <w:left w:w="20" w:type="dxa"/>
              <w:bottom w:w="0" w:type="dxa"/>
              <w:right w:w="20" w:type="dxa"/>
            </w:tcMar>
            <w:vAlign w:val="bottom"/>
          </w:tcPr>
          <w:p w14:paraId="2F1D7733"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40.11</w:t>
            </w:r>
          </w:p>
        </w:tc>
        <w:tc>
          <w:tcPr>
            <w:tcW w:w="1361" w:type="dxa"/>
            <w:tcBorders>
              <w:top w:val="nil"/>
              <w:left w:val="nil"/>
              <w:bottom w:val="nil"/>
              <w:right w:val="nil"/>
            </w:tcBorders>
            <w:tcMar>
              <w:top w:w="0" w:type="dxa"/>
              <w:left w:w="20" w:type="dxa"/>
              <w:bottom w:w="0" w:type="dxa"/>
              <w:right w:w="20" w:type="dxa"/>
            </w:tcMar>
            <w:vAlign w:val="bottom"/>
          </w:tcPr>
          <w:p w14:paraId="18729E52"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7.9</w:t>
            </w:r>
          </w:p>
        </w:tc>
        <w:tc>
          <w:tcPr>
            <w:tcW w:w="525" w:type="dxa"/>
            <w:tcBorders>
              <w:top w:val="nil"/>
              <w:left w:val="nil"/>
              <w:bottom w:val="nil"/>
              <w:right w:val="nil"/>
            </w:tcBorders>
            <w:tcMar>
              <w:top w:w="0" w:type="dxa"/>
              <w:left w:w="20" w:type="dxa"/>
              <w:bottom w:w="0" w:type="dxa"/>
              <w:right w:w="20" w:type="dxa"/>
            </w:tcMar>
            <w:vAlign w:val="bottom"/>
          </w:tcPr>
          <w:p w14:paraId="00306B83"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3.5</w:t>
            </w:r>
          </w:p>
        </w:tc>
      </w:tr>
      <w:tr w:rsidR="007D17B2" w:rsidRPr="00780D2B" w14:paraId="1280C2C8" w14:textId="77777777">
        <w:trPr>
          <w:trHeight w:val="285"/>
        </w:trPr>
        <w:tc>
          <w:tcPr>
            <w:tcW w:w="397" w:type="dxa"/>
            <w:tcBorders>
              <w:top w:val="nil"/>
              <w:left w:val="nil"/>
              <w:bottom w:val="nil"/>
              <w:right w:val="single" w:sz="6" w:space="0" w:color="000000"/>
            </w:tcBorders>
            <w:shd w:val="clear" w:color="auto" w:fill="F2F2F2"/>
            <w:tcMar>
              <w:top w:w="0" w:type="dxa"/>
              <w:left w:w="20" w:type="dxa"/>
              <w:bottom w:w="0" w:type="dxa"/>
              <w:right w:w="20" w:type="dxa"/>
            </w:tcMar>
            <w:vAlign w:val="bottom"/>
          </w:tcPr>
          <w:p w14:paraId="7B19313C"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29</w:t>
            </w:r>
          </w:p>
        </w:tc>
        <w:tc>
          <w:tcPr>
            <w:tcW w:w="2551" w:type="dxa"/>
            <w:tcBorders>
              <w:top w:val="nil"/>
              <w:left w:val="nil"/>
              <w:bottom w:val="nil"/>
              <w:right w:val="nil"/>
            </w:tcBorders>
            <w:shd w:val="clear" w:color="auto" w:fill="F2F2F2"/>
            <w:tcMar>
              <w:top w:w="0" w:type="dxa"/>
              <w:left w:w="20" w:type="dxa"/>
              <w:bottom w:w="0" w:type="dxa"/>
              <w:right w:w="20" w:type="dxa"/>
            </w:tcMar>
            <w:vAlign w:val="bottom"/>
          </w:tcPr>
          <w:p w14:paraId="1082D09F"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2025-05-03T03:08:23</w:t>
            </w:r>
          </w:p>
        </w:tc>
        <w:tc>
          <w:tcPr>
            <w:tcW w:w="1644" w:type="dxa"/>
            <w:tcBorders>
              <w:top w:val="nil"/>
              <w:left w:val="nil"/>
              <w:bottom w:val="nil"/>
              <w:right w:val="nil"/>
            </w:tcBorders>
            <w:shd w:val="clear" w:color="auto" w:fill="F2F2F2"/>
            <w:tcMar>
              <w:top w:w="0" w:type="dxa"/>
              <w:left w:w="20" w:type="dxa"/>
              <w:bottom w:w="0" w:type="dxa"/>
              <w:right w:w="20" w:type="dxa"/>
            </w:tcMar>
            <w:vAlign w:val="bottom"/>
          </w:tcPr>
          <w:p w14:paraId="058A2720"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41.4</w:t>
            </w:r>
          </w:p>
        </w:tc>
        <w:tc>
          <w:tcPr>
            <w:tcW w:w="1361" w:type="dxa"/>
            <w:tcBorders>
              <w:top w:val="nil"/>
              <w:left w:val="nil"/>
              <w:bottom w:val="nil"/>
              <w:right w:val="nil"/>
            </w:tcBorders>
            <w:shd w:val="clear" w:color="auto" w:fill="F2F2F2"/>
            <w:tcMar>
              <w:top w:w="0" w:type="dxa"/>
              <w:left w:w="20" w:type="dxa"/>
              <w:bottom w:w="0" w:type="dxa"/>
              <w:right w:w="20" w:type="dxa"/>
            </w:tcMar>
            <w:vAlign w:val="bottom"/>
          </w:tcPr>
          <w:p w14:paraId="200BB56B"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60.5</w:t>
            </w:r>
          </w:p>
        </w:tc>
        <w:tc>
          <w:tcPr>
            <w:tcW w:w="525" w:type="dxa"/>
            <w:tcBorders>
              <w:top w:val="nil"/>
              <w:left w:val="nil"/>
              <w:bottom w:val="nil"/>
              <w:right w:val="nil"/>
            </w:tcBorders>
            <w:shd w:val="clear" w:color="auto" w:fill="F2F2F2"/>
            <w:tcMar>
              <w:top w:w="0" w:type="dxa"/>
              <w:left w:w="20" w:type="dxa"/>
              <w:bottom w:w="0" w:type="dxa"/>
              <w:right w:w="20" w:type="dxa"/>
            </w:tcMar>
            <w:vAlign w:val="bottom"/>
          </w:tcPr>
          <w:p w14:paraId="7C3B8596"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3.8</w:t>
            </w:r>
          </w:p>
        </w:tc>
      </w:tr>
      <w:tr w:rsidR="007D17B2" w:rsidRPr="00780D2B" w14:paraId="1B54DABB" w14:textId="77777777">
        <w:trPr>
          <w:trHeight w:val="285"/>
        </w:trPr>
        <w:tc>
          <w:tcPr>
            <w:tcW w:w="397" w:type="dxa"/>
            <w:tcBorders>
              <w:top w:val="nil"/>
              <w:left w:val="nil"/>
              <w:bottom w:val="nil"/>
              <w:right w:val="single" w:sz="6" w:space="0" w:color="000000"/>
            </w:tcBorders>
            <w:tcMar>
              <w:top w:w="0" w:type="dxa"/>
              <w:left w:w="20" w:type="dxa"/>
              <w:bottom w:w="0" w:type="dxa"/>
              <w:right w:w="20" w:type="dxa"/>
            </w:tcMar>
            <w:vAlign w:val="bottom"/>
          </w:tcPr>
          <w:p w14:paraId="70BD2CB9"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30</w:t>
            </w:r>
          </w:p>
        </w:tc>
        <w:tc>
          <w:tcPr>
            <w:tcW w:w="2551" w:type="dxa"/>
            <w:tcBorders>
              <w:top w:val="nil"/>
              <w:left w:val="nil"/>
              <w:bottom w:val="nil"/>
              <w:right w:val="nil"/>
            </w:tcBorders>
            <w:tcMar>
              <w:top w:w="0" w:type="dxa"/>
              <w:left w:w="20" w:type="dxa"/>
              <w:bottom w:w="0" w:type="dxa"/>
              <w:right w:w="20" w:type="dxa"/>
            </w:tcMar>
            <w:vAlign w:val="bottom"/>
          </w:tcPr>
          <w:p w14:paraId="2469ACA5"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2025-07-09T07:43:21</w:t>
            </w:r>
          </w:p>
        </w:tc>
        <w:tc>
          <w:tcPr>
            <w:tcW w:w="1644" w:type="dxa"/>
            <w:tcBorders>
              <w:top w:val="nil"/>
              <w:left w:val="nil"/>
              <w:bottom w:val="nil"/>
              <w:right w:val="nil"/>
            </w:tcBorders>
            <w:tcMar>
              <w:top w:w="0" w:type="dxa"/>
              <w:left w:w="20" w:type="dxa"/>
              <w:bottom w:w="0" w:type="dxa"/>
              <w:right w:w="20" w:type="dxa"/>
            </w:tcMar>
            <w:vAlign w:val="bottom"/>
          </w:tcPr>
          <w:p w14:paraId="0510FE1A"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41.63</w:t>
            </w:r>
          </w:p>
        </w:tc>
        <w:tc>
          <w:tcPr>
            <w:tcW w:w="1361" w:type="dxa"/>
            <w:tcBorders>
              <w:top w:val="nil"/>
              <w:left w:val="nil"/>
              <w:bottom w:val="nil"/>
              <w:right w:val="nil"/>
            </w:tcBorders>
            <w:tcMar>
              <w:top w:w="0" w:type="dxa"/>
              <w:left w:w="20" w:type="dxa"/>
              <w:bottom w:w="0" w:type="dxa"/>
              <w:right w:w="20" w:type="dxa"/>
            </w:tcMar>
            <w:vAlign w:val="bottom"/>
          </w:tcPr>
          <w:p w14:paraId="77F0DBD9"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3.3</w:t>
            </w:r>
          </w:p>
        </w:tc>
        <w:tc>
          <w:tcPr>
            <w:tcW w:w="525" w:type="dxa"/>
            <w:tcBorders>
              <w:top w:val="nil"/>
              <w:left w:val="nil"/>
              <w:bottom w:val="nil"/>
              <w:right w:val="nil"/>
            </w:tcBorders>
            <w:tcMar>
              <w:top w:w="0" w:type="dxa"/>
              <w:left w:w="20" w:type="dxa"/>
              <w:bottom w:w="0" w:type="dxa"/>
              <w:right w:w="20" w:type="dxa"/>
            </w:tcMar>
            <w:vAlign w:val="bottom"/>
          </w:tcPr>
          <w:p w14:paraId="6E2EFAB5" w14:textId="77777777" w:rsidR="007D17B2" w:rsidRPr="00780D2B" w:rsidRDefault="00000000">
            <w:pPr>
              <w:spacing w:after="0" w:line="276" w:lineRule="auto"/>
              <w:jc w:val="both"/>
              <w:rPr>
                <w:rFonts w:ascii="Arial" w:eastAsia="Arial" w:hAnsi="Arial" w:cs="Arial"/>
                <w:sz w:val="24"/>
                <w:szCs w:val="24"/>
              </w:rPr>
            </w:pPr>
            <w:r w:rsidRPr="00780D2B">
              <w:rPr>
                <w:rFonts w:ascii="Arial" w:eastAsia="Arial" w:hAnsi="Arial" w:cs="Arial"/>
                <w:sz w:val="24"/>
                <w:szCs w:val="24"/>
              </w:rPr>
              <w:t>3.5</w:t>
            </w:r>
          </w:p>
        </w:tc>
      </w:tr>
    </w:tbl>
    <w:p w14:paraId="2157FDD8" w14:textId="77777777" w:rsidR="007D17B2" w:rsidRPr="00780D2B" w:rsidRDefault="00000000">
      <w:pPr>
        <w:pBdr>
          <w:top w:val="nil"/>
          <w:left w:val="nil"/>
          <w:bottom w:val="nil"/>
          <w:right w:val="nil"/>
          <w:between w:val="nil"/>
        </w:pBdr>
        <w:spacing w:after="0" w:line="480" w:lineRule="auto"/>
        <w:jc w:val="both"/>
        <w:rPr>
          <w:rFonts w:ascii="Arial" w:eastAsia="Arial" w:hAnsi="Arial" w:cs="Arial"/>
          <w:sz w:val="24"/>
          <w:szCs w:val="24"/>
        </w:rPr>
      </w:pPr>
      <w:r w:rsidRPr="00780D2B">
        <w:rPr>
          <w:rFonts w:ascii="Arial" w:eastAsia="Arial" w:hAnsi="Arial" w:cs="Arial"/>
          <w:noProof/>
          <w:sz w:val="24"/>
          <w:szCs w:val="24"/>
        </w:rPr>
        <w:drawing>
          <wp:inline distT="114300" distB="114300" distL="114300" distR="114300" wp14:anchorId="18A2B1F1" wp14:editId="349137F4">
            <wp:extent cx="5812213" cy="4058606"/>
            <wp:effectExtent l="0" t="0" r="0" b="0"/>
            <wp:docPr id="1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5"/>
                    <a:srcRect t="122" b="122"/>
                    <a:stretch>
                      <a:fillRect/>
                    </a:stretch>
                  </pic:blipFill>
                  <pic:spPr>
                    <a:xfrm>
                      <a:off x="0" y="0"/>
                      <a:ext cx="5812213" cy="4058606"/>
                    </a:xfrm>
                    <a:prstGeom prst="rect">
                      <a:avLst/>
                    </a:prstGeom>
                    <a:ln/>
                  </pic:spPr>
                </pic:pic>
              </a:graphicData>
            </a:graphic>
          </wp:inline>
        </w:drawing>
      </w:r>
    </w:p>
    <w:p w14:paraId="47B20D01" w14:textId="77777777" w:rsidR="007D17B2" w:rsidRPr="00780D2B" w:rsidRDefault="00000000">
      <w:pPr>
        <w:spacing w:after="240" w:line="480" w:lineRule="auto"/>
        <w:jc w:val="both"/>
        <w:rPr>
          <w:rFonts w:ascii="Arial" w:eastAsia="Arial" w:hAnsi="Arial" w:cs="Arial"/>
          <w:i/>
          <w:iCs/>
          <w:sz w:val="24"/>
          <w:szCs w:val="24"/>
        </w:rPr>
      </w:pPr>
      <w:r w:rsidRPr="00780D2B">
        <w:rPr>
          <w:rFonts w:ascii="Arial" w:eastAsia="Arial" w:hAnsi="Arial" w:cs="Arial"/>
          <w:b/>
          <w:bCs/>
          <w:i/>
          <w:iCs/>
          <w:sz w:val="24"/>
          <w:szCs w:val="24"/>
        </w:rPr>
        <w:t>Figure 3</w:t>
      </w:r>
      <w:r w:rsidRPr="00780D2B">
        <w:rPr>
          <w:rFonts w:ascii="Arial" w:eastAsia="Arial" w:hAnsi="Arial" w:cs="Arial"/>
          <w:b/>
          <w:bCs/>
          <w:sz w:val="24"/>
          <w:szCs w:val="24"/>
        </w:rPr>
        <w:t>.</w:t>
      </w:r>
      <w:r w:rsidRPr="00780D2B">
        <w:rPr>
          <w:rFonts w:ascii="Arial" w:eastAsia="Arial" w:hAnsi="Arial" w:cs="Arial"/>
          <w:sz w:val="24"/>
          <w:szCs w:val="24"/>
        </w:rPr>
        <w:t xml:space="preserve"> </w:t>
      </w:r>
      <w:r w:rsidRPr="00780D2B">
        <w:rPr>
          <w:rFonts w:ascii="Arial" w:eastAsia="Arial" w:hAnsi="Arial" w:cs="Arial"/>
          <w:i/>
          <w:iCs/>
          <w:sz w:val="24"/>
          <w:szCs w:val="24"/>
        </w:rPr>
        <w:t xml:space="preserve">Map of the epicenters of the 30 seismic events listed in Table 2 (red dots, with size proportional to event magnitude). The three highest-magnitude events (IDs 9, 16, and 17) are highlighted. The location of the Terza Torre monitoring array is marked by a blue triangle. The dashed line marks the circular area of 80 km radius used for event selection. The color version of this figure is available only in the electronic edition. </w:t>
      </w:r>
    </w:p>
    <w:p w14:paraId="14A9A86C" w14:textId="77777777" w:rsidR="007D17B2" w:rsidRPr="00780D2B" w:rsidRDefault="00000000">
      <w:pPr>
        <w:spacing w:after="0" w:line="480" w:lineRule="auto"/>
        <w:jc w:val="both"/>
        <w:rPr>
          <w:rFonts w:ascii="Arial" w:eastAsia="Arial" w:hAnsi="Arial" w:cs="Arial"/>
          <w:i/>
          <w:iCs/>
          <w:sz w:val="24"/>
          <w:szCs w:val="24"/>
        </w:rPr>
      </w:pPr>
      <w:r w:rsidRPr="00780D2B">
        <w:rPr>
          <w:rFonts w:ascii="Arial" w:eastAsia="Arial" w:hAnsi="Arial" w:cs="Arial"/>
          <w:i/>
          <w:iCs/>
          <w:sz w:val="24"/>
          <w:szCs w:val="24"/>
        </w:rPr>
        <w:lastRenderedPageBreak/>
        <w:t>[Alt Text: A map of Northern Italy displaying the position of the Terza Torre building together with the epicenters of the 30 events contained in the dataset, and the 80 km radius area in which they were selected.]</w:t>
      </w:r>
    </w:p>
    <w:p w14:paraId="4BAEEE88" w14:textId="77777777" w:rsidR="007D17B2" w:rsidRPr="00780D2B" w:rsidRDefault="007D17B2">
      <w:pPr>
        <w:spacing w:after="0" w:line="480" w:lineRule="auto"/>
        <w:jc w:val="both"/>
        <w:rPr>
          <w:rFonts w:ascii="Arial" w:eastAsia="Arial" w:hAnsi="Arial" w:cs="Arial"/>
          <w:i/>
          <w:iCs/>
          <w:sz w:val="24"/>
          <w:szCs w:val="24"/>
        </w:rPr>
      </w:pPr>
    </w:p>
    <w:p w14:paraId="1101B332" w14:textId="77777777" w:rsidR="007D17B2" w:rsidRPr="00780D2B" w:rsidRDefault="00000000">
      <w:pPr>
        <w:pBdr>
          <w:top w:val="nil"/>
          <w:left w:val="nil"/>
          <w:bottom w:val="nil"/>
          <w:right w:val="nil"/>
          <w:between w:val="nil"/>
        </w:pBdr>
        <w:spacing w:after="0" w:line="480" w:lineRule="auto"/>
        <w:jc w:val="both"/>
        <w:rPr>
          <w:rFonts w:ascii="Arial" w:eastAsia="Arial" w:hAnsi="Arial" w:cs="Arial"/>
          <w:sz w:val="24"/>
          <w:szCs w:val="24"/>
        </w:rPr>
      </w:pPr>
      <w:r w:rsidRPr="00780D2B">
        <w:rPr>
          <w:rFonts w:ascii="Arial" w:eastAsia="Arial" w:hAnsi="Arial" w:cs="Arial"/>
          <w:noProof/>
          <w:sz w:val="24"/>
          <w:szCs w:val="24"/>
        </w:rPr>
        <w:drawing>
          <wp:inline distT="114300" distB="114300" distL="114300" distR="114300" wp14:anchorId="421C5778" wp14:editId="5454698A">
            <wp:extent cx="6119820" cy="2044700"/>
            <wp:effectExtent l="0" t="0" r="0" b="0"/>
            <wp:docPr id="20"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6"/>
                    <a:srcRect l="116" r="116"/>
                    <a:stretch>
                      <a:fillRect/>
                    </a:stretch>
                  </pic:blipFill>
                  <pic:spPr>
                    <a:xfrm>
                      <a:off x="0" y="0"/>
                      <a:ext cx="6119820" cy="2044700"/>
                    </a:xfrm>
                    <a:prstGeom prst="rect">
                      <a:avLst/>
                    </a:prstGeom>
                    <a:ln/>
                  </pic:spPr>
                </pic:pic>
              </a:graphicData>
            </a:graphic>
          </wp:inline>
        </w:drawing>
      </w:r>
    </w:p>
    <w:p w14:paraId="09444C33" w14:textId="77777777" w:rsidR="007D17B2" w:rsidRPr="00780D2B" w:rsidRDefault="00000000">
      <w:pPr>
        <w:spacing w:after="240" w:line="480" w:lineRule="auto"/>
        <w:jc w:val="both"/>
        <w:rPr>
          <w:rFonts w:ascii="Arial" w:eastAsia="Arial" w:hAnsi="Arial" w:cs="Arial"/>
          <w:i/>
          <w:iCs/>
          <w:sz w:val="24"/>
          <w:szCs w:val="24"/>
        </w:rPr>
      </w:pPr>
      <w:r w:rsidRPr="00780D2B">
        <w:rPr>
          <w:rFonts w:ascii="Arial" w:eastAsia="Arial" w:hAnsi="Arial" w:cs="Arial"/>
          <w:b/>
          <w:bCs/>
          <w:i/>
          <w:iCs/>
          <w:sz w:val="24"/>
          <w:szCs w:val="24"/>
        </w:rPr>
        <w:t xml:space="preserve">Figure 4. </w:t>
      </w:r>
      <w:r w:rsidRPr="00780D2B">
        <w:rPr>
          <w:rFonts w:ascii="Arial" w:eastAsia="Arial" w:hAnsi="Arial" w:cs="Arial"/>
          <w:i/>
          <w:iCs/>
          <w:sz w:val="24"/>
          <w:szCs w:val="24"/>
        </w:rPr>
        <w:t xml:space="preserve">Data availability for each station for the 30 selected events recorded by the Terza Torre experiment (see also Supplemental Material, Figure S2). The vertical dashed and dotted lines indicate the change of sampling rate configuration, first from 125 to 200 Hz and then from 200 to 250 Hz. The EHE component of station RE006 (marked with an asterisk) was affected by a sensor malfunction until October 2023 and has 50% total availability. Stations RE002 and RE008 experienced system interruptions due to software malfunctioning and connectivity issues, respectively. </w:t>
      </w:r>
    </w:p>
    <w:p w14:paraId="1C2BFB80" w14:textId="77777777" w:rsidR="007D17B2" w:rsidRPr="00780D2B" w:rsidRDefault="00000000">
      <w:pPr>
        <w:spacing w:after="360" w:line="480" w:lineRule="auto"/>
        <w:jc w:val="both"/>
        <w:rPr>
          <w:rFonts w:ascii="Arial" w:eastAsia="Arial" w:hAnsi="Arial" w:cs="Arial"/>
          <w:color w:val="000000"/>
          <w:sz w:val="24"/>
          <w:szCs w:val="24"/>
        </w:rPr>
      </w:pPr>
      <w:r w:rsidRPr="00780D2B">
        <w:rPr>
          <w:rFonts w:ascii="Arial" w:eastAsia="Arial" w:hAnsi="Arial" w:cs="Arial"/>
          <w:i/>
          <w:iCs/>
          <w:sz w:val="24"/>
          <w:szCs w:val="24"/>
        </w:rPr>
        <w:t>[Alt Text: A chart displaying the availability of data for each station in the monitoring array, for each event in the dataset, together with the total availability in percentage.]</w:t>
      </w:r>
    </w:p>
    <w:p w14:paraId="5E5C0F1A" w14:textId="77777777" w:rsidR="007D17B2" w:rsidRPr="00780D2B" w:rsidRDefault="00000000">
      <w:pPr>
        <w:pStyle w:val="Titolo1"/>
        <w:spacing w:line="480" w:lineRule="auto"/>
        <w:rPr>
          <w:rFonts w:ascii="Arial" w:eastAsia="Arial" w:hAnsi="Arial" w:cs="Arial"/>
        </w:rPr>
      </w:pPr>
      <w:bookmarkStart w:id="13" w:name="_heading=h.vwyxh76h0uvi" w:colFirst="0" w:colLast="0"/>
      <w:bookmarkEnd w:id="13"/>
      <w:r w:rsidRPr="00780D2B">
        <w:rPr>
          <w:rFonts w:ascii="Arial" w:eastAsia="Arial" w:hAnsi="Arial" w:cs="Arial"/>
        </w:rPr>
        <w:t>Initial observations</w:t>
      </w:r>
    </w:p>
    <w:p w14:paraId="0CBC3BBB" w14:textId="77777777" w:rsidR="007D17B2" w:rsidRPr="00780D2B" w:rsidRDefault="00000000">
      <w:pPr>
        <w:spacing w:after="0" w:line="480" w:lineRule="auto"/>
        <w:jc w:val="both"/>
        <w:rPr>
          <w:rFonts w:ascii="Arial" w:eastAsia="Arial" w:hAnsi="Arial" w:cs="Arial"/>
          <w:sz w:val="24"/>
          <w:szCs w:val="24"/>
        </w:rPr>
      </w:pPr>
      <w:r w:rsidRPr="00780D2B">
        <w:rPr>
          <w:rFonts w:ascii="Arial" w:eastAsia="Arial" w:hAnsi="Arial" w:cs="Arial"/>
          <w:sz w:val="24"/>
          <w:szCs w:val="24"/>
        </w:rPr>
        <w:t xml:space="preserve">Among the 30 earthquakes composing the dataset, only three events (IDs 9, 16 and 17) generated peak horizontal velocities above 0.1 cm/s within the building. The strongest </w:t>
      </w:r>
      <w:r w:rsidRPr="00780D2B">
        <w:rPr>
          <w:rFonts w:ascii="Arial" w:eastAsia="Arial" w:hAnsi="Arial" w:cs="Arial"/>
          <w:sz w:val="24"/>
          <w:szCs w:val="24"/>
        </w:rPr>
        <w:lastRenderedPageBreak/>
        <w:t>event in the dataset is the 18 September 2023 earthquake (ID 9), which had ML 4.8 and occurred at an epicentral distance of 54 km, near the Emilia-Romagna - Tuscany border. During this event, the peak horizontal velocity recorded on the building was 0.47 cm/s on the EHE component of station RE005 (15th floor; see Figure 5), compared to 0.16 cm/s on the EHE component at the surface borehole sensor RERI.01.</w:t>
      </w:r>
    </w:p>
    <w:p w14:paraId="2C4C1BE6" w14:textId="77777777" w:rsidR="007D17B2" w:rsidRPr="00780D2B" w:rsidRDefault="007D17B2">
      <w:pPr>
        <w:spacing w:after="0" w:line="480" w:lineRule="auto"/>
        <w:jc w:val="both"/>
        <w:rPr>
          <w:rFonts w:ascii="Arial" w:eastAsia="Arial" w:hAnsi="Arial" w:cs="Arial"/>
          <w:sz w:val="24"/>
          <w:szCs w:val="24"/>
        </w:rPr>
      </w:pPr>
    </w:p>
    <w:p w14:paraId="7ED70B69" w14:textId="77777777" w:rsidR="007D17B2" w:rsidRPr="00780D2B" w:rsidRDefault="00000000">
      <w:pPr>
        <w:spacing w:after="0" w:line="480" w:lineRule="auto"/>
        <w:jc w:val="both"/>
        <w:rPr>
          <w:rFonts w:ascii="Arial" w:eastAsia="Arial" w:hAnsi="Arial" w:cs="Arial"/>
          <w:sz w:val="24"/>
          <w:szCs w:val="24"/>
        </w:rPr>
      </w:pPr>
      <w:r w:rsidRPr="00780D2B">
        <w:rPr>
          <w:rFonts w:ascii="Arial" w:eastAsia="Arial" w:hAnsi="Arial" w:cs="Arial"/>
          <w:noProof/>
          <w:sz w:val="24"/>
          <w:szCs w:val="24"/>
        </w:rPr>
        <w:drawing>
          <wp:inline distT="114300" distB="114300" distL="114300" distR="114300" wp14:anchorId="4561AFE5" wp14:editId="4FA5B916">
            <wp:extent cx="4961816" cy="5762942"/>
            <wp:effectExtent l="0" t="0" r="0" b="0"/>
            <wp:docPr id="1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7"/>
                    <a:srcRect t="60" b="60"/>
                    <a:stretch>
                      <a:fillRect/>
                    </a:stretch>
                  </pic:blipFill>
                  <pic:spPr>
                    <a:xfrm>
                      <a:off x="0" y="0"/>
                      <a:ext cx="4961816" cy="5762942"/>
                    </a:xfrm>
                    <a:prstGeom prst="rect">
                      <a:avLst/>
                    </a:prstGeom>
                    <a:ln/>
                  </pic:spPr>
                </pic:pic>
              </a:graphicData>
            </a:graphic>
          </wp:inline>
        </w:drawing>
      </w:r>
    </w:p>
    <w:p w14:paraId="1ADDB894" w14:textId="77777777" w:rsidR="007D17B2" w:rsidRPr="00780D2B" w:rsidRDefault="00000000">
      <w:pPr>
        <w:spacing w:after="240" w:line="480" w:lineRule="auto"/>
        <w:jc w:val="both"/>
        <w:rPr>
          <w:rFonts w:ascii="Arial" w:eastAsia="Arial" w:hAnsi="Arial" w:cs="Arial"/>
          <w:i/>
          <w:iCs/>
          <w:sz w:val="24"/>
          <w:szCs w:val="24"/>
        </w:rPr>
      </w:pPr>
      <w:r w:rsidRPr="00780D2B">
        <w:rPr>
          <w:rFonts w:ascii="Arial" w:eastAsia="Arial" w:hAnsi="Arial" w:cs="Arial"/>
          <w:b/>
          <w:bCs/>
          <w:i/>
          <w:iCs/>
          <w:sz w:val="24"/>
          <w:szCs w:val="24"/>
        </w:rPr>
        <w:lastRenderedPageBreak/>
        <w:t>Figure 5</w:t>
      </w:r>
      <w:r w:rsidRPr="00780D2B">
        <w:rPr>
          <w:rFonts w:ascii="Arial" w:eastAsia="Arial" w:hAnsi="Arial" w:cs="Arial"/>
          <w:b/>
          <w:bCs/>
          <w:sz w:val="24"/>
          <w:szCs w:val="24"/>
        </w:rPr>
        <w:t>.</w:t>
      </w:r>
      <w:r w:rsidRPr="00780D2B">
        <w:rPr>
          <w:rFonts w:ascii="Arial" w:eastAsia="Arial" w:hAnsi="Arial" w:cs="Arial"/>
          <w:sz w:val="24"/>
          <w:szCs w:val="24"/>
        </w:rPr>
        <w:t xml:space="preserve"> </w:t>
      </w:r>
      <w:r w:rsidRPr="00780D2B">
        <w:rPr>
          <w:rFonts w:ascii="Arial" w:eastAsia="Arial" w:hAnsi="Arial" w:cs="Arial"/>
          <w:i/>
          <w:iCs/>
          <w:sz w:val="24"/>
          <w:szCs w:val="24"/>
        </w:rPr>
        <w:t xml:space="preserve">Recorded three-component ground velocity (EHE, EHN, EHZ) for the ML 4.8 earthquake on 18 September 2023 (event ID 9). The waveforms have been corrected for instrumental sensitivity and bandpass filtered between 0.3 and 30 Hz. </w:t>
      </w:r>
    </w:p>
    <w:p w14:paraId="46FEBBF0" w14:textId="159AA7E4" w:rsidR="007D17B2" w:rsidRPr="00780D2B" w:rsidRDefault="00000000">
      <w:pPr>
        <w:spacing w:after="240" w:line="480" w:lineRule="auto"/>
        <w:jc w:val="both"/>
        <w:rPr>
          <w:rFonts w:ascii="Arial" w:eastAsia="Arial" w:hAnsi="Arial" w:cs="Arial"/>
          <w:i/>
          <w:iCs/>
          <w:sz w:val="24"/>
          <w:szCs w:val="24"/>
        </w:rPr>
      </w:pPr>
      <w:r w:rsidRPr="00780D2B">
        <w:rPr>
          <w:rFonts w:ascii="Arial" w:eastAsia="Arial" w:hAnsi="Arial" w:cs="Arial"/>
          <w:i/>
          <w:iCs/>
          <w:sz w:val="24"/>
          <w:szCs w:val="24"/>
        </w:rPr>
        <w:t>[Alt Text: A plot of the waveforms recorded by the monitoring array for the ML 4.8 earthquake occurred on 18 September 2023; both the horizontal and the vertical components are shown.]</w:t>
      </w:r>
    </w:p>
    <w:p w14:paraId="357CCC8A" w14:textId="77777777" w:rsidR="007D17B2" w:rsidRPr="00780D2B" w:rsidRDefault="00000000">
      <w:pPr>
        <w:spacing w:before="240" w:after="0" w:line="480" w:lineRule="auto"/>
        <w:jc w:val="both"/>
        <w:rPr>
          <w:rFonts w:ascii="Arial" w:eastAsia="Arial" w:hAnsi="Arial" w:cs="Arial"/>
          <w:sz w:val="24"/>
          <w:szCs w:val="24"/>
        </w:rPr>
      </w:pPr>
      <w:r w:rsidRPr="00780D2B">
        <w:rPr>
          <w:rFonts w:ascii="Arial" w:eastAsia="Arial" w:hAnsi="Arial" w:cs="Arial"/>
          <w:sz w:val="24"/>
          <w:szCs w:val="24"/>
        </w:rPr>
        <w:t>Preliminary analyses were conducted on both local earthquake records and ambient vibration data, exploiting all available earthquake recordings from the dataset and complementing them with six hours of ambient vibration recorded prior to the ML 4.2 event of 28 October 2023 (event ID 17), and focusing on velocimetric data.</w:t>
      </w:r>
    </w:p>
    <w:p w14:paraId="0FBFA89F" w14:textId="77777777" w:rsidR="007D17B2" w:rsidRPr="00780D2B" w:rsidRDefault="00000000">
      <w:pPr>
        <w:spacing w:before="240" w:after="0" w:line="480" w:lineRule="auto"/>
        <w:jc w:val="both"/>
        <w:rPr>
          <w:rFonts w:ascii="Arial" w:eastAsia="Arial" w:hAnsi="Arial" w:cs="Arial"/>
          <w:sz w:val="24"/>
          <w:szCs w:val="24"/>
        </w:rPr>
      </w:pPr>
      <w:r w:rsidRPr="00780D2B">
        <w:rPr>
          <w:rFonts w:ascii="Arial" w:eastAsia="Arial" w:hAnsi="Arial" w:cs="Arial"/>
          <w:sz w:val="24"/>
          <w:szCs w:val="24"/>
        </w:rPr>
        <w:t>The main aspect of these analyses consists in a detailed inspection of the dataset in the frequency domain, to provide the potential user with preliminary information on the quality of the dataset in terms of signal-to-noise ratio (SNR) and with an indication of the usable frequency range for different magnitude and distance classes of events. We subsequently show some possible usage of the dataset: (</w:t>
      </w:r>
      <w:proofErr w:type="spellStart"/>
      <w:r w:rsidRPr="00780D2B">
        <w:rPr>
          <w:rFonts w:ascii="Arial" w:eastAsia="Arial" w:hAnsi="Arial" w:cs="Arial"/>
          <w:sz w:val="24"/>
          <w:szCs w:val="24"/>
        </w:rPr>
        <w:t>i</w:t>
      </w:r>
      <w:proofErr w:type="spellEnd"/>
      <w:r w:rsidRPr="00780D2B">
        <w:rPr>
          <w:rFonts w:ascii="Arial" w:eastAsia="Arial" w:hAnsi="Arial" w:cs="Arial"/>
          <w:sz w:val="24"/>
          <w:szCs w:val="24"/>
        </w:rPr>
        <w:t>) to characterize the building’s fundamental frequencies, (ii) to identify the corresponding mode shapes under linear-elastic conditions, and (iii) to evaluate the local site response.</w:t>
      </w:r>
    </w:p>
    <w:p w14:paraId="46B4911C" w14:textId="674231A6" w:rsidR="007D17B2" w:rsidRPr="00780D2B" w:rsidRDefault="00D303CC">
      <w:pPr>
        <w:spacing w:before="240" w:after="240" w:line="480" w:lineRule="auto"/>
        <w:jc w:val="both"/>
        <w:rPr>
          <w:rFonts w:ascii="Arial" w:eastAsia="Arial" w:hAnsi="Arial" w:cs="Arial"/>
          <w:sz w:val="24"/>
          <w:szCs w:val="24"/>
        </w:rPr>
      </w:pPr>
      <w:r w:rsidRPr="00780D2B">
        <w:rPr>
          <w:rFonts w:ascii="Arial" w:eastAsia="Arial" w:hAnsi="Arial" w:cs="Arial"/>
          <w:sz w:val="24"/>
          <w:szCs w:val="24"/>
        </w:rPr>
        <w:t>These preliminary results are not comprehensive and do not capture the nonlinear response of</w:t>
      </w:r>
      <w:r w:rsidR="00266E6C" w:rsidRPr="00780D2B">
        <w:rPr>
          <w:rFonts w:ascii="Arial" w:eastAsia="Arial" w:hAnsi="Arial" w:cs="Arial"/>
          <w:sz w:val="24"/>
          <w:szCs w:val="24"/>
        </w:rPr>
        <w:t xml:space="preserve"> either</w:t>
      </w:r>
      <w:r w:rsidRPr="00780D2B">
        <w:rPr>
          <w:rFonts w:ascii="Arial" w:eastAsia="Arial" w:hAnsi="Arial" w:cs="Arial"/>
          <w:sz w:val="24"/>
          <w:szCs w:val="24"/>
        </w:rPr>
        <w:t xml:space="preserve"> the soil or</w:t>
      </w:r>
      <w:r w:rsidR="008F5439" w:rsidRPr="00780D2B">
        <w:rPr>
          <w:rFonts w:ascii="Arial" w:eastAsia="Arial" w:hAnsi="Arial" w:cs="Arial"/>
          <w:sz w:val="24"/>
          <w:szCs w:val="24"/>
        </w:rPr>
        <w:t xml:space="preserve"> </w:t>
      </w:r>
      <w:r w:rsidRPr="00780D2B">
        <w:rPr>
          <w:rFonts w:ascii="Arial" w:eastAsia="Arial" w:hAnsi="Arial" w:cs="Arial"/>
          <w:sz w:val="24"/>
          <w:szCs w:val="24"/>
        </w:rPr>
        <w:t>the building under strong shaking</w:t>
      </w:r>
      <w:r w:rsidR="00266E6C" w:rsidRPr="00780D2B">
        <w:rPr>
          <w:rFonts w:ascii="Arial" w:eastAsia="Arial" w:hAnsi="Arial" w:cs="Arial"/>
          <w:sz w:val="24"/>
          <w:szCs w:val="24"/>
        </w:rPr>
        <w:t>,</w:t>
      </w:r>
      <w:r w:rsidRPr="00780D2B">
        <w:rPr>
          <w:rFonts w:ascii="Arial" w:eastAsia="Arial" w:hAnsi="Arial" w:cs="Arial"/>
          <w:sz w:val="24"/>
          <w:szCs w:val="24"/>
        </w:rPr>
        <w:t xml:space="preserve"> where effects such as cracking, stiffness degradation, or loss of connectivity in non-structural components may occur. As they are, the preliminary results obtained with the analyzed dataset offer essential constraints for calibrating numerical models under elastic conditions. </w:t>
      </w:r>
      <w:r w:rsidRPr="00780D2B">
        <w:rPr>
          <w:rFonts w:ascii="Arial" w:eastAsia="Arial" w:hAnsi="Arial" w:cs="Arial"/>
          <w:sz w:val="24"/>
          <w:szCs w:val="24"/>
        </w:rPr>
        <w:lastRenderedPageBreak/>
        <w:t>Furthermore, dynamic behavior results of the building can establish a reference dynamic state of the building in its undamaged condition, which can be used as a benchmark for future monitoring or post-event assessments.</w:t>
      </w:r>
    </w:p>
    <w:p w14:paraId="182FC59A" w14:textId="77777777" w:rsidR="007D17B2" w:rsidRPr="00780D2B" w:rsidRDefault="00000000">
      <w:pPr>
        <w:pStyle w:val="Titolo2"/>
        <w:spacing w:after="0" w:line="480" w:lineRule="auto"/>
        <w:ind w:firstLine="720"/>
        <w:rPr>
          <w:rFonts w:ascii="Arial" w:eastAsia="Arial" w:hAnsi="Arial" w:cs="Arial"/>
          <w:i/>
          <w:iCs/>
        </w:rPr>
      </w:pPr>
      <w:bookmarkStart w:id="14" w:name="_heading=h.9npn6tvk3aor" w:colFirst="0" w:colLast="0"/>
      <w:bookmarkEnd w:id="14"/>
      <w:r w:rsidRPr="00780D2B">
        <w:rPr>
          <w:rFonts w:ascii="Arial" w:eastAsia="Arial" w:hAnsi="Arial" w:cs="Arial"/>
          <w:i/>
          <w:iCs/>
        </w:rPr>
        <w:t>Spectral analysis of earthquake data</w:t>
      </w:r>
    </w:p>
    <w:p w14:paraId="7BBC6408" w14:textId="77777777" w:rsidR="007D17B2" w:rsidRPr="00780D2B" w:rsidRDefault="00000000">
      <w:pPr>
        <w:spacing w:before="240" w:after="0" w:line="480" w:lineRule="auto"/>
        <w:jc w:val="both"/>
        <w:rPr>
          <w:rFonts w:ascii="Arial" w:eastAsia="Arial" w:hAnsi="Arial" w:cs="Arial"/>
          <w:sz w:val="24"/>
          <w:szCs w:val="24"/>
        </w:rPr>
      </w:pPr>
      <w:r w:rsidRPr="00780D2B">
        <w:rPr>
          <w:rFonts w:ascii="Arial" w:eastAsia="Arial" w:hAnsi="Arial" w:cs="Arial"/>
          <w:sz w:val="24"/>
          <w:szCs w:val="24"/>
        </w:rPr>
        <w:t xml:space="preserve">Since the </w:t>
      </w:r>
      <w:proofErr w:type="spellStart"/>
      <w:r w:rsidRPr="00780D2B">
        <w:rPr>
          <w:rFonts w:ascii="Arial" w:eastAsia="Arial" w:hAnsi="Arial" w:cs="Arial"/>
          <w:sz w:val="24"/>
          <w:szCs w:val="24"/>
        </w:rPr>
        <w:t>Lunitek</w:t>
      </w:r>
      <w:proofErr w:type="spellEnd"/>
      <w:r w:rsidRPr="00780D2B">
        <w:rPr>
          <w:rFonts w:ascii="Arial" w:eastAsia="Arial" w:hAnsi="Arial" w:cs="Arial"/>
          <w:sz w:val="24"/>
          <w:szCs w:val="24"/>
        </w:rPr>
        <w:t xml:space="preserve"> velocimeters are short-period sensors which display a low corner-frequency at 4.5 Hz, correcting for the full instrumental response introduces a trend in the low frequency band, which becomes visible in the frequency domain. This trend does not affect any of the subsequent analyses, in which only relative measurements are considered. In the dataset we provide both the raw data and the full instrumental response, along with corrected data, allowing users to make their own data processing depending on their needs. </w:t>
      </w:r>
    </w:p>
    <w:p w14:paraId="055684DD" w14:textId="77777777" w:rsidR="007D17B2" w:rsidRPr="00780D2B" w:rsidRDefault="00000000">
      <w:pPr>
        <w:spacing w:before="240" w:after="140" w:line="480" w:lineRule="auto"/>
        <w:jc w:val="both"/>
        <w:rPr>
          <w:rFonts w:ascii="Arial" w:eastAsia="Arial" w:hAnsi="Arial" w:cs="Arial"/>
          <w:sz w:val="24"/>
          <w:szCs w:val="24"/>
        </w:rPr>
      </w:pPr>
      <w:r w:rsidRPr="00780D2B">
        <w:rPr>
          <w:rFonts w:ascii="Arial" w:eastAsia="Arial" w:hAnsi="Arial" w:cs="Arial"/>
          <w:sz w:val="24"/>
          <w:szCs w:val="24"/>
        </w:rPr>
        <w:t xml:space="preserve">We first checked the quality of the dataset in terms of signal-to-noise ratio (SNR), to investigate the usable frequency range for the earthquake data. For each sensor, channel-wise SNR calculation was carried out in the frequency band between 0.3 and 30 Hz by using the 20s long noise signal that is recorded before the event and the 20s long signal that starts from the theoretical S-wave arrival calculated by using the 1D global velocity model defined by Kennett and Engdahl (1991). Frequency bands with SNR larger than 3 were estimated by following the procedure developed by Gallo et al. (2014); some examples of signal and noise spectra are provided in the Supplemental Material (Figure S3-S4). We chose a threshold of 3 to exemplify a reasonable SNR condition, in which the frequency content of the earthquake motions can be identified. </w:t>
      </w:r>
    </w:p>
    <w:p w14:paraId="6333D2CC" w14:textId="77777777" w:rsidR="007D17B2" w:rsidRPr="00780D2B" w:rsidRDefault="00000000">
      <w:pPr>
        <w:spacing w:before="240" w:after="140" w:line="480" w:lineRule="auto"/>
        <w:jc w:val="both"/>
        <w:rPr>
          <w:rFonts w:ascii="Arial" w:eastAsia="Arial" w:hAnsi="Arial" w:cs="Arial"/>
          <w:sz w:val="24"/>
          <w:szCs w:val="24"/>
        </w:rPr>
      </w:pPr>
      <w:r w:rsidRPr="00780D2B">
        <w:rPr>
          <w:rFonts w:ascii="Arial" w:eastAsia="Arial" w:hAnsi="Arial" w:cs="Arial"/>
          <w:sz w:val="24"/>
          <w:szCs w:val="24"/>
        </w:rPr>
        <w:lastRenderedPageBreak/>
        <w:t xml:space="preserve">The results of the SNR analysis are exemplified in Figure 6 for station RE006, where for each event only the frequencies at which the threshold condition is met are considered. For this reason, the average earthquake spectra shown as black lines in Figure 6 are calculated over a different number of data points for each frequency. Earthquake-wise analysis was carried out for all stations in the building and the results are given in the Supplemental material (Figure S5-S6; see also Data and Resources). The analysis shows that best SNR values are generally retrieved above 1 Hz, whereas for lower frequencies the number of usable data points tends to decrease, especially for low magnitude events. This does not prevent from detecting the expected fundamental modes below 1 Hz, provided that the analyst is aware of the growing bias as frequency decreases. According to the PPSD analyses, the expected lowest usable frequency is around 0.2 Hz, where the signal consistently exceeds the Peterson high noise model. </w:t>
      </w:r>
    </w:p>
    <w:p w14:paraId="562AC502" w14:textId="77777777" w:rsidR="007D17B2" w:rsidRPr="00780D2B" w:rsidRDefault="00000000">
      <w:pPr>
        <w:spacing w:before="240" w:after="140" w:line="480" w:lineRule="auto"/>
        <w:jc w:val="both"/>
        <w:rPr>
          <w:rFonts w:ascii="Arial" w:eastAsia="Arial" w:hAnsi="Arial" w:cs="Arial"/>
          <w:b/>
          <w:bCs/>
          <w:sz w:val="24"/>
          <w:szCs w:val="24"/>
        </w:rPr>
      </w:pPr>
      <w:r w:rsidRPr="00780D2B">
        <w:rPr>
          <w:rFonts w:ascii="Arial" w:eastAsia="Arial" w:hAnsi="Arial" w:cs="Arial"/>
          <w:noProof/>
          <w:sz w:val="24"/>
          <w:szCs w:val="24"/>
        </w:rPr>
        <w:drawing>
          <wp:inline distT="114300" distB="114300" distL="114300" distR="114300" wp14:anchorId="23BA531E" wp14:editId="3E135C5F">
            <wp:extent cx="6118577" cy="3441700"/>
            <wp:effectExtent l="0" t="0" r="0" b="0"/>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8"/>
                    <a:srcRect/>
                    <a:stretch>
                      <a:fillRect/>
                    </a:stretch>
                  </pic:blipFill>
                  <pic:spPr>
                    <a:xfrm>
                      <a:off x="0" y="0"/>
                      <a:ext cx="6118577" cy="3441700"/>
                    </a:xfrm>
                    <a:prstGeom prst="rect">
                      <a:avLst/>
                    </a:prstGeom>
                    <a:ln/>
                  </pic:spPr>
                </pic:pic>
              </a:graphicData>
            </a:graphic>
          </wp:inline>
        </w:drawing>
      </w:r>
    </w:p>
    <w:p w14:paraId="41D4C2F4" w14:textId="77777777" w:rsidR="007D17B2" w:rsidRPr="00780D2B" w:rsidRDefault="00000000">
      <w:pPr>
        <w:spacing w:after="240" w:line="480" w:lineRule="auto"/>
        <w:jc w:val="both"/>
        <w:rPr>
          <w:rFonts w:ascii="Arial" w:eastAsia="Arial" w:hAnsi="Arial" w:cs="Arial"/>
          <w:sz w:val="24"/>
          <w:szCs w:val="24"/>
        </w:rPr>
      </w:pPr>
      <w:r w:rsidRPr="00780D2B">
        <w:rPr>
          <w:rFonts w:ascii="Arial" w:eastAsia="Arial" w:hAnsi="Arial" w:cs="Arial"/>
          <w:b/>
          <w:bCs/>
          <w:i/>
          <w:iCs/>
          <w:sz w:val="24"/>
          <w:szCs w:val="24"/>
        </w:rPr>
        <w:lastRenderedPageBreak/>
        <w:t>Figure 6</w:t>
      </w:r>
      <w:r w:rsidRPr="00780D2B">
        <w:rPr>
          <w:rFonts w:ascii="Arial" w:eastAsia="Arial" w:hAnsi="Arial" w:cs="Arial"/>
          <w:b/>
          <w:bCs/>
          <w:sz w:val="24"/>
          <w:szCs w:val="24"/>
        </w:rPr>
        <w:t>.</w:t>
      </w:r>
      <w:r w:rsidRPr="00780D2B">
        <w:rPr>
          <w:rFonts w:ascii="Arial" w:eastAsia="Arial" w:hAnsi="Arial" w:cs="Arial"/>
          <w:sz w:val="24"/>
          <w:szCs w:val="24"/>
        </w:rPr>
        <w:t xml:space="preserve"> </w:t>
      </w:r>
      <w:r w:rsidRPr="00780D2B">
        <w:rPr>
          <w:rFonts w:ascii="Arial" w:eastAsia="Arial" w:hAnsi="Arial" w:cs="Arial"/>
          <w:i/>
          <w:iCs/>
          <w:sz w:val="24"/>
          <w:szCs w:val="24"/>
        </w:rPr>
        <w:t>top) Spectral content of earthquake data recorded by RE006 station. Spectra for each event are shown as dots, and their mean as a black line. bottom) Number of data points used for each frequency to calculate the mean value given in the top panel</w:t>
      </w:r>
      <w:r w:rsidRPr="00780D2B">
        <w:rPr>
          <w:rFonts w:ascii="Arial" w:eastAsia="Arial" w:hAnsi="Arial" w:cs="Arial"/>
          <w:sz w:val="24"/>
          <w:szCs w:val="24"/>
        </w:rPr>
        <w:t xml:space="preserve">. </w:t>
      </w:r>
      <w:r w:rsidRPr="00780D2B">
        <w:rPr>
          <w:rFonts w:ascii="Arial" w:eastAsia="Arial" w:hAnsi="Arial" w:cs="Arial"/>
          <w:i/>
          <w:iCs/>
          <w:sz w:val="24"/>
          <w:szCs w:val="24"/>
        </w:rPr>
        <w:t xml:space="preserve">The color version of this figure is available only in the electronic edition. </w:t>
      </w:r>
    </w:p>
    <w:p w14:paraId="1A47F3B1" w14:textId="77777777" w:rsidR="007D17B2" w:rsidRPr="00780D2B" w:rsidRDefault="00000000">
      <w:pPr>
        <w:spacing w:after="240" w:line="480" w:lineRule="auto"/>
        <w:jc w:val="both"/>
        <w:rPr>
          <w:rFonts w:ascii="Arial" w:eastAsia="Arial" w:hAnsi="Arial" w:cs="Arial"/>
          <w:i/>
          <w:iCs/>
          <w:sz w:val="24"/>
          <w:szCs w:val="24"/>
        </w:rPr>
      </w:pPr>
      <w:r w:rsidRPr="00780D2B">
        <w:rPr>
          <w:rFonts w:ascii="Arial" w:eastAsia="Arial" w:hAnsi="Arial" w:cs="Arial"/>
          <w:i/>
          <w:iCs/>
          <w:sz w:val="24"/>
          <w:szCs w:val="24"/>
        </w:rPr>
        <w:t>[Alt Text: Plots of the mean spectral amplitude curve obtained for each component of station RE006 over the event dataset, and corresponding distribution of the number of available points for each frequency based on the signal to noise ratio.]</w:t>
      </w:r>
    </w:p>
    <w:p w14:paraId="555C9A1A" w14:textId="77777777" w:rsidR="007D17B2" w:rsidRPr="00780D2B" w:rsidRDefault="00000000">
      <w:pPr>
        <w:pStyle w:val="Titolo2"/>
        <w:spacing w:line="480" w:lineRule="auto"/>
        <w:ind w:firstLine="720"/>
        <w:rPr>
          <w:rFonts w:ascii="Arial" w:eastAsia="Arial" w:hAnsi="Arial" w:cs="Arial"/>
          <w:i/>
          <w:iCs/>
        </w:rPr>
      </w:pPr>
      <w:bookmarkStart w:id="15" w:name="_heading=h.lw59uuisy519" w:colFirst="0" w:colLast="0"/>
      <w:bookmarkEnd w:id="15"/>
      <w:r w:rsidRPr="00780D2B">
        <w:rPr>
          <w:rFonts w:ascii="Arial" w:eastAsia="Arial" w:hAnsi="Arial" w:cs="Arial"/>
          <w:i/>
          <w:iCs/>
        </w:rPr>
        <w:t xml:space="preserve">Spectral ratio analysis </w:t>
      </w:r>
    </w:p>
    <w:p w14:paraId="5C90B840" w14:textId="01018E30" w:rsidR="007D17B2" w:rsidRPr="00780D2B" w:rsidRDefault="00000000">
      <w:pPr>
        <w:spacing w:after="0" w:line="480" w:lineRule="auto"/>
        <w:jc w:val="both"/>
        <w:rPr>
          <w:rFonts w:ascii="Arial" w:eastAsia="Arial" w:hAnsi="Arial" w:cs="Arial"/>
          <w:strike/>
          <w:sz w:val="24"/>
          <w:szCs w:val="24"/>
        </w:rPr>
      </w:pPr>
      <w:r w:rsidRPr="00780D2B">
        <w:rPr>
          <w:rFonts w:ascii="Arial" w:eastAsia="Arial" w:hAnsi="Arial" w:cs="Arial"/>
          <w:sz w:val="24"/>
          <w:szCs w:val="24"/>
        </w:rPr>
        <w:t xml:space="preserve">To isolate the structural response from the combined building-soil system behavior, Fourier amplitude spectral (FAS) ratios (FASRs) can be computed by normalizing the Fourier spectra of the motion recorded at each floor to that of a reference sensor. </w:t>
      </w:r>
      <w:r w:rsidR="000C6440" w:rsidRPr="00780D2B">
        <w:rPr>
          <w:rFonts w:ascii="Arial" w:eastAsia="Arial" w:hAnsi="Arial" w:cs="Arial"/>
          <w:sz w:val="24"/>
          <w:szCs w:val="24"/>
        </w:rPr>
        <w:t xml:space="preserve">In spectral ratio analyses </w:t>
      </w:r>
      <w:r w:rsidRPr="00780D2B">
        <w:rPr>
          <w:rFonts w:ascii="Arial" w:eastAsia="Arial" w:hAnsi="Arial" w:cs="Arial"/>
          <w:sz w:val="24"/>
          <w:szCs w:val="24"/>
        </w:rPr>
        <w:t>the reference is</w:t>
      </w:r>
      <w:r w:rsidR="000C6440" w:rsidRPr="00780D2B">
        <w:rPr>
          <w:rFonts w:ascii="Arial" w:eastAsia="Arial" w:hAnsi="Arial" w:cs="Arial"/>
          <w:sz w:val="24"/>
          <w:szCs w:val="24"/>
        </w:rPr>
        <w:t xml:space="preserve"> commonly</w:t>
      </w:r>
      <w:r w:rsidRPr="00780D2B">
        <w:rPr>
          <w:rFonts w:ascii="Arial" w:eastAsia="Arial" w:hAnsi="Arial" w:cs="Arial"/>
          <w:sz w:val="24"/>
          <w:szCs w:val="24"/>
        </w:rPr>
        <w:t xml:space="preserve"> assumed to </w:t>
      </w:r>
      <w:r w:rsidR="00266E6C" w:rsidRPr="00780D2B">
        <w:rPr>
          <w:rFonts w:ascii="Arial" w:eastAsia="Arial" w:hAnsi="Arial" w:cs="Arial"/>
          <w:sz w:val="24"/>
          <w:szCs w:val="24"/>
        </w:rPr>
        <w:t xml:space="preserve">extract </w:t>
      </w:r>
      <w:r w:rsidRPr="00780D2B">
        <w:rPr>
          <w:rFonts w:ascii="Arial" w:eastAsia="Arial" w:hAnsi="Arial" w:cs="Arial"/>
          <w:sz w:val="24"/>
          <w:szCs w:val="24"/>
        </w:rPr>
        <w:t>the free-field motion. In our case, the chosen reference was sensor RE008, located at the base of the building (2</w:t>
      </w:r>
      <w:r w:rsidRPr="00780D2B">
        <w:rPr>
          <w:rFonts w:ascii="Arial" w:eastAsia="Arial" w:hAnsi="Arial" w:cs="Arial"/>
          <w:sz w:val="24"/>
          <w:szCs w:val="24"/>
          <w:vertAlign w:val="superscript"/>
        </w:rPr>
        <w:t>nd</w:t>
      </w:r>
      <w:r w:rsidRPr="00780D2B">
        <w:rPr>
          <w:rFonts w:ascii="Arial" w:eastAsia="Arial" w:hAnsi="Arial" w:cs="Arial"/>
          <w:sz w:val="24"/>
          <w:szCs w:val="24"/>
        </w:rPr>
        <w:t xml:space="preserve"> basement floor). In adopting this approach, we are aware that RE008 partially includes the propagation effect in the building, as the </w:t>
      </w:r>
      <w:proofErr w:type="spellStart"/>
      <w:r w:rsidRPr="00780D2B">
        <w:rPr>
          <w:rFonts w:ascii="Arial" w:eastAsia="Arial" w:hAnsi="Arial" w:cs="Arial"/>
          <w:sz w:val="24"/>
          <w:szCs w:val="24"/>
        </w:rPr>
        <w:t>downgoing</w:t>
      </w:r>
      <w:proofErr w:type="spellEnd"/>
      <w:r w:rsidRPr="00780D2B">
        <w:rPr>
          <w:rFonts w:ascii="Arial" w:eastAsia="Arial" w:hAnsi="Arial" w:cs="Arial"/>
          <w:sz w:val="24"/>
          <w:szCs w:val="24"/>
        </w:rPr>
        <w:t xml:space="preserve"> waves re-radiated from the structure can influence the recordings at the base. The resulting spectral ratios should thus not be interpreted as true transfer functions; nevertheless, for the purpose of the estimation of the vibrational frequencies, this approximation is commonly employed and considered adequate (e.g., Michel </w:t>
      </w:r>
      <w:r w:rsidRPr="00780D2B">
        <w:rPr>
          <w:rFonts w:ascii="Arial" w:eastAsia="Arial" w:hAnsi="Arial" w:cs="Arial"/>
          <w:i/>
          <w:iCs/>
          <w:sz w:val="24"/>
          <w:szCs w:val="24"/>
        </w:rPr>
        <w:t>et al.</w:t>
      </w:r>
      <w:r w:rsidRPr="00780D2B">
        <w:rPr>
          <w:rFonts w:ascii="Arial" w:eastAsia="Arial" w:hAnsi="Arial" w:cs="Arial"/>
          <w:sz w:val="24"/>
          <w:szCs w:val="24"/>
        </w:rPr>
        <w:t xml:space="preserve">, 2008). </w:t>
      </w:r>
    </w:p>
    <w:p w14:paraId="36F9632A" w14:textId="77777777" w:rsidR="007D17B2" w:rsidRPr="00780D2B" w:rsidRDefault="00000000">
      <w:pPr>
        <w:spacing w:before="240" w:after="140" w:line="480" w:lineRule="auto"/>
        <w:jc w:val="both"/>
        <w:rPr>
          <w:rFonts w:ascii="Arial" w:eastAsia="Arial" w:hAnsi="Arial" w:cs="Arial"/>
          <w:sz w:val="24"/>
          <w:szCs w:val="24"/>
        </w:rPr>
      </w:pPr>
      <w:r w:rsidRPr="00780D2B">
        <w:rPr>
          <w:rFonts w:ascii="Arial" w:eastAsia="Arial" w:hAnsi="Arial" w:cs="Arial"/>
          <w:sz w:val="24"/>
          <w:szCs w:val="24"/>
        </w:rPr>
        <w:t xml:space="preserve">This analysis utilized velocity waveforms recorded consistently across all stations and components of the building, focusing on frequencies below 10 Hz, where the dominant modal energy is expected. For ambient vibrations, the data were divided into ten-minute </w:t>
      </w:r>
      <w:r w:rsidRPr="00780D2B">
        <w:rPr>
          <w:rFonts w:ascii="Arial" w:eastAsia="Arial" w:hAnsi="Arial" w:cs="Arial"/>
          <w:sz w:val="24"/>
          <w:szCs w:val="24"/>
        </w:rPr>
        <w:lastRenderedPageBreak/>
        <w:t xml:space="preserve">windows, </w:t>
      </w:r>
      <w:proofErr w:type="spellStart"/>
      <w:r w:rsidRPr="00780D2B">
        <w:rPr>
          <w:rFonts w:ascii="Arial" w:eastAsia="Arial" w:hAnsi="Arial" w:cs="Arial"/>
          <w:sz w:val="24"/>
          <w:szCs w:val="24"/>
        </w:rPr>
        <w:t>highpass</w:t>
      </w:r>
      <w:proofErr w:type="spellEnd"/>
      <w:r w:rsidRPr="00780D2B">
        <w:rPr>
          <w:rFonts w:ascii="Arial" w:eastAsia="Arial" w:hAnsi="Arial" w:cs="Arial"/>
          <w:sz w:val="24"/>
          <w:szCs w:val="24"/>
        </w:rPr>
        <w:t xml:space="preserve"> filtered above 0.05 Hz, and tapered with a 5% taper ratio. The same time windows as described in Spectral analysis of earthquake data were used. For each time window the FAS of the station of interest was divided by the FAS of the reference station. Finally, the medians of all spectral ratios were calculated.</w:t>
      </w:r>
    </w:p>
    <w:p w14:paraId="185E1C06" w14:textId="77777777" w:rsidR="007D17B2" w:rsidRPr="00780D2B" w:rsidRDefault="00000000">
      <w:pPr>
        <w:spacing w:before="240" w:after="140" w:line="480" w:lineRule="auto"/>
        <w:jc w:val="both"/>
        <w:rPr>
          <w:rFonts w:ascii="Arial" w:eastAsia="Arial" w:hAnsi="Arial" w:cs="Arial"/>
          <w:sz w:val="24"/>
          <w:szCs w:val="24"/>
        </w:rPr>
      </w:pPr>
      <w:r w:rsidRPr="00780D2B">
        <w:rPr>
          <w:rFonts w:ascii="Arial" w:eastAsia="Arial" w:hAnsi="Arial" w:cs="Arial"/>
          <w:sz w:val="24"/>
          <w:szCs w:val="24"/>
        </w:rPr>
        <w:t>As shown by the spectral analysis, earthquake signals are mostly excited at higher frequencies (&gt;1Hz). To ensure the reliability of the spectral ratio analysis, we take into consideration the number of data points with good SNR available for station RE008. An example for station RE006 is shown in Figure 7. It can be seen that the number of data points available for FASR analysis is lower for the lowest frequencies with respect to higher frequencies, with a decrease in the number of data for each frequency due to the SNR scores of RE008 data. In Figure 7, it can be seen that for frequencies lower than 0.4 Hz in the vertical component it is not possible to carry out the FASR due to the absence of high SNR data. This does not affect the contribution related to low magnitude earthquakes, for which higher frequencies are expected to be amplified (Ditommaso et al., 2012).</w:t>
      </w:r>
    </w:p>
    <w:p w14:paraId="6D65DCE1" w14:textId="77777777" w:rsidR="007D17B2" w:rsidRPr="00780D2B" w:rsidRDefault="00000000">
      <w:pPr>
        <w:spacing w:before="240" w:after="140" w:line="480" w:lineRule="auto"/>
        <w:jc w:val="both"/>
        <w:rPr>
          <w:rFonts w:ascii="Arial" w:eastAsia="Arial" w:hAnsi="Arial" w:cs="Arial"/>
          <w:sz w:val="24"/>
          <w:szCs w:val="24"/>
        </w:rPr>
      </w:pPr>
      <w:r w:rsidRPr="00780D2B">
        <w:rPr>
          <w:rFonts w:ascii="Arial" w:eastAsia="Arial" w:hAnsi="Arial" w:cs="Arial"/>
          <w:noProof/>
          <w:sz w:val="24"/>
          <w:szCs w:val="24"/>
        </w:rPr>
        <w:lastRenderedPageBreak/>
        <w:drawing>
          <wp:inline distT="114300" distB="114300" distL="114300" distR="114300" wp14:anchorId="07CB8461" wp14:editId="25A224E1">
            <wp:extent cx="6118577" cy="3441700"/>
            <wp:effectExtent l="0" t="0" r="0" b="0"/>
            <wp:docPr id="1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9"/>
                    <a:srcRect/>
                    <a:stretch>
                      <a:fillRect/>
                    </a:stretch>
                  </pic:blipFill>
                  <pic:spPr>
                    <a:xfrm>
                      <a:off x="0" y="0"/>
                      <a:ext cx="6118577" cy="3441700"/>
                    </a:xfrm>
                    <a:prstGeom prst="rect">
                      <a:avLst/>
                    </a:prstGeom>
                    <a:ln/>
                  </pic:spPr>
                </pic:pic>
              </a:graphicData>
            </a:graphic>
          </wp:inline>
        </w:drawing>
      </w:r>
    </w:p>
    <w:p w14:paraId="77D7A79C" w14:textId="77777777" w:rsidR="007D17B2" w:rsidRPr="00780D2B" w:rsidRDefault="00000000">
      <w:pPr>
        <w:spacing w:before="240" w:after="240" w:line="480" w:lineRule="auto"/>
        <w:jc w:val="both"/>
        <w:rPr>
          <w:rFonts w:ascii="Arial" w:eastAsia="Arial" w:hAnsi="Arial" w:cs="Arial"/>
          <w:i/>
          <w:iCs/>
          <w:sz w:val="24"/>
          <w:szCs w:val="24"/>
        </w:rPr>
      </w:pPr>
      <w:r w:rsidRPr="00780D2B">
        <w:rPr>
          <w:rFonts w:ascii="Arial" w:eastAsia="Arial" w:hAnsi="Arial" w:cs="Arial"/>
          <w:b/>
          <w:bCs/>
          <w:i/>
          <w:iCs/>
          <w:sz w:val="24"/>
          <w:szCs w:val="24"/>
        </w:rPr>
        <w:t>Figure 7.</w:t>
      </w:r>
      <w:r w:rsidRPr="00780D2B">
        <w:rPr>
          <w:rFonts w:ascii="Arial" w:eastAsia="Arial" w:hAnsi="Arial" w:cs="Arial"/>
          <w:i/>
          <w:iCs/>
          <w:sz w:val="24"/>
          <w:szCs w:val="24"/>
        </w:rPr>
        <w:t xml:space="preserve"> top) Earthquake spectral ratio of RE006 station with respect to RE008 station. Spectral ratios for each event are shown as dots, and their mean as a black line. bottom) Number of data points used for each frequency to calculate the corresponding mean value in the top panel. The color version of this figure is available only in the electronic edition. </w:t>
      </w:r>
    </w:p>
    <w:p w14:paraId="2745FFE3" w14:textId="77777777" w:rsidR="007D17B2" w:rsidRPr="00780D2B" w:rsidRDefault="00000000">
      <w:pPr>
        <w:spacing w:after="360" w:line="480" w:lineRule="auto"/>
        <w:jc w:val="both"/>
        <w:rPr>
          <w:rFonts w:ascii="Arial" w:eastAsia="Arial" w:hAnsi="Arial" w:cs="Arial"/>
          <w:i/>
          <w:iCs/>
          <w:sz w:val="24"/>
          <w:szCs w:val="24"/>
        </w:rPr>
      </w:pPr>
      <w:r w:rsidRPr="00780D2B">
        <w:rPr>
          <w:rFonts w:ascii="Arial" w:eastAsia="Arial" w:hAnsi="Arial" w:cs="Arial"/>
          <w:i/>
          <w:iCs/>
          <w:sz w:val="24"/>
          <w:szCs w:val="24"/>
        </w:rPr>
        <w:t>[Alt Text: Plots showing the mean spectral ratio curve obtained by dividing the mean amplitude at station RE006 by that of station RE008, for each component, and corresponding distribution of the number of available points for each frequency based on the signal to noise ratio.]</w:t>
      </w:r>
    </w:p>
    <w:p w14:paraId="437676D0" w14:textId="77777777" w:rsidR="007D17B2" w:rsidRPr="00780D2B" w:rsidRDefault="00000000">
      <w:pPr>
        <w:spacing w:before="240" w:after="140" w:line="480" w:lineRule="auto"/>
        <w:jc w:val="both"/>
        <w:rPr>
          <w:rFonts w:ascii="Arial" w:eastAsia="Arial" w:hAnsi="Arial" w:cs="Arial"/>
          <w:sz w:val="24"/>
          <w:szCs w:val="24"/>
        </w:rPr>
      </w:pPr>
      <w:r w:rsidRPr="00780D2B">
        <w:rPr>
          <w:rFonts w:ascii="Arial" w:eastAsia="Arial" w:hAnsi="Arial" w:cs="Arial"/>
          <w:sz w:val="24"/>
          <w:szCs w:val="24"/>
        </w:rPr>
        <w:t xml:space="preserve">The results of the spectral ratio analysis are presented in Figure 8 for both ambient vibrations and earthquake records. The first two resonance peaks are identified with ambient noise vibration at 0.45 Hz and 0.73 Hz (Figure 8a), with significant energy </w:t>
      </w:r>
      <w:r w:rsidRPr="00780D2B">
        <w:rPr>
          <w:rFonts w:ascii="Arial" w:eastAsia="Arial" w:hAnsi="Arial" w:cs="Arial"/>
          <w:sz w:val="24"/>
          <w:szCs w:val="24"/>
        </w:rPr>
        <w:lastRenderedPageBreak/>
        <w:t xml:space="preserve">observed on horizontal components. For the first mode, the east-west (EW) and north-south (NS) components exhibit similar amplitudes, whereas the second mode shows a stronger response in the NS direction. Additional spectral peaks are observed at higher frequencies, specifically at 1.77, 2.34, 2.8, and 3.6 Hz. As for the results based on earthquake data (Figure 8b), peaks detected at higher frequencies between 1.7 Hz and 3.0 Hz are in agreement with the ambient noise measures. The two lowermost resonance frequencies below 1 Hz are still present also in the earthquake data, but less clearly defined than in the ambient vibration analysis. This is likely due to the fact that lower frequencies are more weakly constrained due to the limited length of the analyzed signal time windows. Moreover, ambient excitation has a broadband and continuous nature, which tends to activate a wider range of vibration modes regardless of their directional orientation or modal mass participation. Ambient noise recordings offer greater temporal stability, enabling more effective spectral averaging and sharper identification of resonance peaks (Clinton </w:t>
      </w:r>
      <w:r w:rsidRPr="00780D2B">
        <w:rPr>
          <w:rFonts w:ascii="Arial" w:eastAsia="Arial" w:hAnsi="Arial" w:cs="Arial"/>
          <w:i/>
          <w:iCs/>
          <w:sz w:val="24"/>
          <w:szCs w:val="24"/>
        </w:rPr>
        <w:t>et al.</w:t>
      </w:r>
      <w:r w:rsidRPr="00780D2B">
        <w:rPr>
          <w:rFonts w:ascii="Arial" w:eastAsia="Arial" w:hAnsi="Arial" w:cs="Arial"/>
          <w:sz w:val="24"/>
          <w:szCs w:val="24"/>
        </w:rPr>
        <w:t>, 2006).</w:t>
      </w:r>
    </w:p>
    <w:p w14:paraId="32B8F11D" w14:textId="77777777" w:rsidR="007D17B2" w:rsidRPr="00780D2B" w:rsidRDefault="007D17B2">
      <w:pPr>
        <w:spacing w:before="240" w:after="140" w:line="480" w:lineRule="auto"/>
        <w:jc w:val="both"/>
        <w:rPr>
          <w:rFonts w:ascii="Arial" w:eastAsia="Arial" w:hAnsi="Arial" w:cs="Arial"/>
          <w:sz w:val="24"/>
          <w:szCs w:val="24"/>
        </w:rPr>
      </w:pPr>
    </w:p>
    <w:p w14:paraId="7C06C06B" w14:textId="77777777" w:rsidR="007D17B2" w:rsidRPr="00780D2B" w:rsidRDefault="00000000">
      <w:pPr>
        <w:spacing w:before="240" w:after="140" w:line="480" w:lineRule="auto"/>
        <w:jc w:val="both"/>
        <w:rPr>
          <w:rFonts w:ascii="Arial" w:eastAsia="Arial" w:hAnsi="Arial" w:cs="Arial"/>
          <w:b/>
          <w:bCs/>
          <w:i/>
          <w:iCs/>
          <w:sz w:val="24"/>
          <w:szCs w:val="24"/>
        </w:rPr>
      </w:pPr>
      <w:r w:rsidRPr="00780D2B">
        <w:rPr>
          <w:rFonts w:ascii="Arial" w:eastAsia="Arial" w:hAnsi="Arial" w:cs="Arial"/>
          <w:b/>
          <w:bCs/>
          <w:i/>
          <w:iCs/>
          <w:noProof/>
          <w:sz w:val="24"/>
          <w:szCs w:val="24"/>
        </w:rPr>
        <w:lastRenderedPageBreak/>
        <w:drawing>
          <wp:inline distT="114300" distB="114300" distL="114300" distR="114300" wp14:anchorId="586D8296" wp14:editId="7C378CD4">
            <wp:extent cx="6021430" cy="5759222"/>
            <wp:effectExtent l="0" t="0" r="0" b="0"/>
            <wp:docPr id="1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0"/>
                    <a:srcRect t="19" b="19"/>
                    <a:stretch>
                      <a:fillRect/>
                    </a:stretch>
                  </pic:blipFill>
                  <pic:spPr>
                    <a:xfrm>
                      <a:off x="0" y="0"/>
                      <a:ext cx="6021430" cy="5759222"/>
                    </a:xfrm>
                    <a:prstGeom prst="rect">
                      <a:avLst/>
                    </a:prstGeom>
                    <a:ln/>
                  </pic:spPr>
                </pic:pic>
              </a:graphicData>
            </a:graphic>
          </wp:inline>
        </w:drawing>
      </w:r>
    </w:p>
    <w:p w14:paraId="2A10D5BD" w14:textId="77777777" w:rsidR="007D17B2" w:rsidRPr="00780D2B" w:rsidRDefault="00000000">
      <w:pPr>
        <w:spacing w:before="240" w:after="240" w:line="480" w:lineRule="auto"/>
        <w:jc w:val="both"/>
        <w:rPr>
          <w:rFonts w:ascii="Arial" w:eastAsia="Arial" w:hAnsi="Arial" w:cs="Arial"/>
          <w:i/>
          <w:iCs/>
          <w:sz w:val="24"/>
          <w:szCs w:val="24"/>
        </w:rPr>
      </w:pPr>
      <w:r w:rsidRPr="00780D2B">
        <w:rPr>
          <w:rFonts w:ascii="Arial" w:eastAsia="Arial" w:hAnsi="Arial" w:cs="Arial"/>
          <w:b/>
          <w:bCs/>
          <w:i/>
          <w:iCs/>
          <w:color w:val="000000"/>
          <w:sz w:val="24"/>
          <w:szCs w:val="24"/>
        </w:rPr>
        <w:t xml:space="preserve">Figure </w:t>
      </w:r>
      <w:r w:rsidRPr="00780D2B">
        <w:rPr>
          <w:rFonts w:ascii="Arial" w:eastAsia="Arial" w:hAnsi="Arial" w:cs="Arial"/>
          <w:b/>
          <w:bCs/>
          <w:i/>
          <w:iCs/>
          <w:sz w:val="24"/>
          <w:szCs w:val="24"/>
        </w:rPr>
        <w:t>8</w:t>
      </w:r>
      <w:r w:rsidRPr="00780D2B">
        <w:rPr>
          <w:rFonts w:ascii="Arial" w:eastAsia="Arial" w:hAnsi="Arial" w:cs="Arial"/>
          <w:b/>
          <w:bCs/>
          <w:i/>
          <w:iCs/>
          <w:color w:val="000000"/>
          <w:sz w:val="24"/>
          <w:szCs w:val="24"/>
        </w:rPr>
        <w:t>.</w:t>
      </w:r>
      <w:r w:rsidRPr="00780D2B">
        <w:rPr>
          <w:rFonts w:ascii="Arial" w:eastAsia="Arial" w:hAnsi="Arial" w:cs="Arial"/>
          <w:i/>
          <w:iCs/>
          <w:color w:val="000000"/>
          <w:sz w:val="24"/>
          <w:szCs w:val="24"/>
        </w:rPr>
        <w:t xml:space="preserve"> </w:t>
      </w:r>
      <w:r w:rsidRPr="00780D2B">
        <w:rPr>
          <w:rFonts w:ascii="Arial" w:eastAsia="Arial" w:hAnsi="Arial" w:cs="Arial"/>
          <w:i/>
          <w:iCs/>
          <w:sz w:val="24"/>
          <w:szCs w:val="24"/>
        </w:rPr>
        <w:t>Fourier spectral ratios computed using the RE008 sensor (located at the base of the building) as a reference. a) Average spectral ratios from ambient vibration recordings, based on 10-minute time windows. b) Spectral ratios from local earthquake recordings; bold curves indicate the average spectrum for each component (red for EHE, blue for EHN, green for EHZ) and dashed lines represent the ±1</w:t>
      </w:r>
      <w:r w:rsidRPr="00780D2B">
        <w:rPr>
          <w:rFonts w:ascii="Cambria Math" w:eastAsia="Cambria Math" w:hAnsi="Cambria Math" w:cs="Cambria Math"/>
          <w:i/>
          <w:iCs/>
          <w:sz w:val="24"/>
          <w:szCs w:val="24"/>
        </w:rPr>
        <w:t>𝜎</w:t>
      </w:r>
      <w:r w:rsidRPr="00780D2B">
        <w:rPr>
          <w:rFonts w:ascii="Arial" w:eastAsia="Arial" w:hAnsi="Arial" w:cs="Arial"/>
          <w:sz w:val="24"/>
          <w:szCs w:val="24"/>
        </w:rPr>
        <w:t xml:space="preserve"> </w:t>
      </w:r>
      <w:r w:rsidRPr="00780D2B">
        <w:rPr>
          <w:rFonts w:ascii="Arial" w:eastAsia="Arial" w:hAnsi="Arial" w:cs="Arial"/>
          <w:i/>
          <w:iCs/>
          <w:sz w:val="24"/>
          <w:szCs w:val="24"/>
        </w:rPr>
        <w:t xml:space="preserve">interval. The color version of this figure is available only in the electronic edition. </w:t>
      </w:r>
    </w:p>
    <w:p w14:paraId="62E479B7" w14:textId="77777777" w:rsidR="007D17B2" w:rsidRPr="00780D2B" w:rsidRDefault="00000000">
      <w:pPr>
        <w:pBdr>
          <w:top w:val="nil"/>
          <w:left w:val="nil"/>
          <w:bottom w:val="nil"/>
          <w:right w:val="nil"/>
          <w:between w:val="nil"/>
        </w:pBdr>
        <w:spacing w:after="360" w:line="480" w:lineRule="auto"/>
        <w:jc w:val="both"/>
        <w:rPr>
          <w:rFonts w:ascii="Arial" w:eastAsia="Arial" w:hAnsi="Arial" w:cs="Arial"/>
          <w:i/>
          <w:iCs/>
          <w:sz w:val="24"/>
          <w:szCs w:val="24"/>
        </w:rPr>
      </w:pPr>
      <w:r w:rsidRPr="00780D2B">
        <w:rPr>
          <w:rFonts w:ascii="Arial" w:eastAsia="Arial" w:hAnsi="Arial" w:cs="Arial"/>
          <w:i/>
          <w:iCs/>
          <w:sz w:val="24"/>
          <w:szCs w:val="24"/>
        </w:rPr>
        <w:lastRenderedPageBreak/>
        <w:t>[Alt Text: Two plots showing the Fourier spectral ratios obtained for each component from the analysis of the ambient vibration recordings and from the analysis of earthquake recordings; sensor RE008 was used as a reference.]</w:t>
      </w:r>
    </w:p>
    <w:p w14:paraId="721E5B50" w14:textId="77777777" w:rsidR="007D17B2" w:rsidRPr="00780D2B" w:rsidRDefault="00000000">
      <w:pPr>
        <w:pStyle w:val="Titolo2"/>
        <w:spacing w:line="480" w:lineRule="auto"/>
        <w:ind w:firstLine="720"/>
        <w:rPr>
          <w:rFonts w:ascii="Arial" w:eastAsia="Arial" w:hAnsi="Arial" w:cs="Arial"/>
          <w:i/>
          <w:iCs/>
        </w:rPr>
      </w:pPr>
      <w:bookmarkStart w:id="16" w:name="_heading=h.540uqr3wfff" w:colFirst="0" w:colLast="0"/>
      <w:bookmarkEnd w:id="16"/>
      <w:r w:rsidRPr="00780D2B">
        <w:rPr>
          <w:rFonts w:ascii="Arial" w:eastAsia="Arial" w:hAnsi="Arial" w:cs="Arial"/>
          <w:i/>
          <w:iCs/>
        </w:rPr>
        <w:t xml:space="preserve">Modal analysis </w:t>
      </w:r>
    </w:p>
    <w:p w14:paraId="11A1F33E" w14:textId="77777777" w:rsidR="007D17B2" w:rsidRPr="00780D2B" w:rsidRDefault="00000000">
      <w:pPr>
        <w:spacing w:after="0" w:line="480" w:lineRule="auto"/>
        <w:jc w:val="both"/>
        <w:rPr>
          <w:rFonts w:ascii="Arial" w:eastAsia="Arial" w:hAnsi="Arial" w:cs="Arial"/>
          <w:sz w:val="24"/>
          <w:szCs w:val="24"/>
        </w:rPr>
      </w:pPr>
      <w:r w:rsidRPr="00780D2B">
        <w:rPr>
          <w:rFonts w:ascii="Arial" w:eastAsia="Arial" w:hAnsi="Arial" w:cs="Arial"/>
          <w:sz w:val="24"/>
          <w:szCs w:val="24"/>
        </w:rPr>
        <w:t xml:space="preserve">Another possible application of the dataset is the identification of the vibrational frequencies and corresponding mode shapes of the building using a modal analysis, i.e. the frequency domain decomposition (FDD) technique (Brincker </w:t>
      </w:r>
      <w:r w:rsidRPr="00780D2B">
        <w:rPr>
          <w:rFonts w:ascii="Arial" w:eastAsia="Arial" w:hAnsi="Arial" w:cs="Arial"/>
          <w:i/>
          <w:iCs/>
          <w:sz w:val="24"/>
          <w:szCs w:val="24"/>
        </w:rPr>
        <w:t>et al.</w:t>
      </w:r>
      <w:r w:rsidRPr="00780D2B">
        <w:rPr>
          <w:rFonts w:ascii="Arial" w:eastAsia="Arial" w:hAnsi="Arial" w:cs="Arial"/>
          <w:sz w:val="24"/>
          <w:szCs w:val="24"/>
        </w:rPr>
        <w:t>, 2001). An example of FDD analysis is shown based on the same six hours of synchronous ambient vibration recordings used in the spectral ratio analysis (see Spectral ratio analysis), considering all sensors in the vertical array located on Tower A (RE001-RE006) and excluding sensors RE007-RE008 that are located on Tower B of the building. For each horizontal component, all sensors are considered simultaneously.</w:t>
      </w:r>
    </w:p>
    <w:p w14:paraId="0CFD49A6" w14:textId="77777777" w:rsidR="007D17B2" w:rsidRPr="00780D2B" w:rsidRDefault="00000000">
      <w:pPr>
        <w:spacing w:after="0" w:line="480" w:lineRule="auto"/>
        <w:jc w:val="both"/>
        <w:rPr>
          <w:rFonts w:ascii="Arial" w:eastAsia="Arial" w:hAnsi="Arial" w:cs="Arial"/>
          <w:sz w:val="24"/>
          <w:szCs w:val="24"/>
        </w:rPr>
      </w:pPr>
      <w:r w:rsidRPr="00780D2B">
        <w:rPr>
          <w:rFonts w:ascii="Arial" w:eastAsia="Arial" w:hAnsi="Arial" w:cs="Arial"/>
          <w:sz w:val="24"/>
          <w:szCs w:val="24"/>
        </w:rPr>
        <w:t>The signals were divided into approximately eight-minute windows and processed with standard preprocessing steps, including linear trend removal, tapering, and bandpass filtering between 0.3 and 30 Hz. For each window, the power spectral density matrix was computed at discrete frequencies, and the corresponding spectra were averaged. Singular value decomposition was then applied to the averaged matrices to extract the dominant modal responses (Brincker et al. 2001).</w:t>
      </w:r>
    </w:p>
    <w:p w14:paraId="6BFF1AA7" w14:textId="2A32EFB7" w:rsidR="007D17B2" w:rsidRPr="00780D2B" w:rsidRDefault="00000000">
      <w:pPr>
        <w:spacing w:after="140" w:line="480" w:lineRule="auto"/>
        <w:jc w:val="both"/>
        <w:rPr>
          <w:rFonts w:ascii="Arial" w:eastAsia="Arial" w:hAnsi="Arial" w:cs="Arial"/>
          <w:sz w:val="24"/>
          <w:szCs w:val="24"/>
        </w:rPr>
      </w:pPr>
      <w:r w:rsidRPr="00780D2B">
        <w:rPr>
          <w:rFonts w:ascii="Arial" w:eastAsia="Arial" w:hAnsi="Arial" w:cs="Arial"/>
          <w:sz w:val="24"/>
          <w:szCs w:val="24"/>
        </w:rPr>
        <w:t>The resulting singular values of the power spectral density matrix in the frequency range of 0.3 to 10 Hz and the associated shape of the first vibrational mode are shown in Figure 9. The lowermost main frequencies of the building can be identified at 0.44, 0.71, 1.76, 2.30, 2.80 and 3.60 Hz</w:t>
      </w:r>
      <w:r w:rsidRPr="00780D2B">
        <w:rPr>
          <w:rFonts w:ascii="Arial" w:eastAsia="Arial" w:hAnsi="Arial" w:cs="Arial"/>
          <w:strike/>
          <w:sz w:val="24"/>
          <w:szCs w:val="24"/>
        </w:rPr>
        <w:t>,</w:t>
      </w:r>
      <w:r w:rsidRPr="00780D2B">
        <w:rPr>
          <w:rFonts w:ascii="Arial" w:eastAsia="Arial" w:hAnsi="Arial" w:cs="Arial"/>
          <w:sz w:val="24"/>
          <w:szCs w:val="24"/>
        </w:rPr>
        <w:t xml:space="preserve"> using FDD. These values are in very good agreement with the frequencies obtained through spectral ratio analysis (0.45, 0.73, 1.77, 2.34, 2.80 and 3.60 </w:t>
      </w:r>
      <w:r w:rsidRPr="00780D2B">
        <w:rPr>
          <w:rFonts w:ascii="Arial" w:eastAsia="Arial" w:hAnsi="Arial" w:cs="Arial"/>
          <w:sz w:val="24"/>
          <w:szCs w:val="24"/>
        </w:rPr>
        <w:lastRenderedPageBreak/>
        <w:t>Hz), with deviations below about 3%, confirming the consistency between the two experimental approaches. A comparison with the frequencies obtained from the FEM (0.39, 0.41, 0.69, 1.52 and 1.64 Hz) shows a reasonable agreement for the lower modes, although the numerical model generally predicts slightly lower frequencies than those identified experimentally. The differences are mostly within about 3–14%, which can be attributed to modelling simplifications, uncertainties in material properties,</w:t>
      </w:r>
      <w:r w:rsidR="0076050D" w:rsidRPr="00780D2B">
        <w:rPr>
          <w:rFonts w:ascii="Arial" w:eastAsia="Arial" w:hAnsi="Arial" w:cs="Arial"/>
          <w:sz w:val="24"/>
          <w:szCs w:val="24"/>
        </w:rPr>
        <w:t xml:space="preserve"> stiffness assumptions, the contribution of non-structural components,</w:t>
      </w:r>
      <w:r w:rsidRPr="00780D2B">
        <w:rPr>
          <w:rFonts w:ascii="Arial" w:eastAsia="Arial" w:hAnsi="Arial" w:cs="Arial"/>
          <w:sz w:val="24"/>
          <w:szCs w:val="24"/>
        </w:rPr>
        <w:t xml:space="preserve"> and idealized boundary conditions in the FE model.</w:t>
      </w:r>
    </w:p>
    <w:p w14:paraId="34AE5F19" w14:textId="77777777" w:rsidR="007D17B2" w:rsidRPr="00780D2B" w:rsidRDefault="00000000">
      <w:pPr>
        <w:spacing w:after="140" w:line="480" w:lineRule="auto"/>
        <w:jc w:val="both"/>
        <w:rPr>
          <w:rFonts w:ascii="Arial" w:eastAsia="Arial" w:hAnsi="Arial" w:cs="Arial"/>
          <w:sz w:val="24"/>
          <w:szCs w:val="24"/>
        </w:rPr>
      </w:pPr>
      <w:r w:rsidRPr="00780D2B">
        <w:rPr>
          <w:rFonts w:ascii="Arial" w:eastAsia="Arial" w:hAnsi="Arial" w:cs="Arial"/>
          <w:sz w:val="24"/>
          <w:szCs w:val="24"/>
        </w:rPr>
        <w:t>The amplitudes of the first mode, observed at 0.44 Hz, increase with height for both directions, reaching their maxima at the roof. FDD analysis also has the potential to extract information on the classification of the modes (e.g., translational or torsional). Although the FDD method can be extended to estimate damping ratios using the Enhanced Frequency Domain Decomposition (EFDD) approach (Brincker, Ventura and Andersen, 2001), damping identification was not pursued in the present study due to its higher sensitivity to noise and modal overlap, as well as the larger uncertainties generally associated with damping estimates from ambient vibration measurements (e.g., Cruz and Miranda, 2019). Therefore, the present analysis focuses on the more robustly identifiable parameters, namely the natural frequencies and associated mode shapes.</w:t>
      </w:r>
    </w:p>
    <w:p w14:paraId="20830140" w14:textId="77777777" w:rsidR="007D17B2" w:rsidRPr="00780D2B" w:rsidRDefault="007D17B2">
      <w:pPr>
        <w:spacing w:after="140" w:line="480" w:lineRule="auto"/>
        <w:jc w:val="both"/>
        <w:rPr>
          <w:rFonts w:ascii="Arial" w:eastAsia="Arial" w:hAnsi="Arial" w:cs="Arial"/>
          <w:sz w:val="24"/>
          <w:szCs w:val="24"/>
        </w:rPr>
      </w:pPr>
    </w:p>
    <w:p w14:paraId="5CD3AC72" w14:textId="77777777" w:rsidR="007D17B2" w:rsidRPr="00780D2B" w:rsidRDefault="00000000">
      <w:pPr>
        <w:spacing w:after="0" w:line="480" w:lineRule="auto"/>
        <w:jc w:val="both"/>
        <w:rPr>
          <w:rFonts w:ascii="Arial" w:eastAsia="Arial" w:hAnsi="Arial" w:cs="Arial"/>
          <w:i/>
          <w:iCs/>
          <w:sz w:val="24"/>
          <w:szCs w:val="24"/>
        </w:rPr>
      </w:pPr>
      <w:r w:rsidRPr="00780D2B">
        <w:rPr>
          <w:rFonts w:ascii="Arial" w:eastAsia="Arial" w:hAnsi="Arial" w:cs="Arial"/>
          <w:i/>
          <w:iCs/>
          <w:noProof/>
          <w:sz w:val="24"/>
          <w:szCs w:val="24"/>
        </w:rPr>
        <w:lastRenderedPageBreak/>
        <w:drawing>
          <wp:inline distT="114300" distB="114300" distL="114300" distR="114300" wp14:anchorId="7A22A722" wp14:editId="1E72C8F3">
            <wp:extent cx="6119820" cy="1676400"/>
            <wp:effectExtent l="0" t="0" r="0" b="0"/>
            <wp:docPr id="1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1"/>
                    <a:srcRect/>
                    <a:stretch>
                      <a:fillRect/>
                    </a:stretch>
                  </pic:blipFill>
                  <pic:spPr>
                    <a:xfrm>
                      <a:off x="0" y="0"/>
                      <a:ext cx="6119820" cy="1676400"/>
                    </a:xfrm>
                    <a:prstGeom prst="rect">
                      <a:avLst/>
                    </a:prstGeom>
                    <a:ln/>
                  </pic:spPr>
                </pic:pic>
              </a:graphicData>
            </a:graphic>
          </wp:inline>
        </w:drawing>
      </w:r>
    </w:p>
    <w:p w14:paraId="3F8B7418" w14:textId="77777777" w:rsidR="007D17B2" w:rsidRPr="00780D2B" w:rsidRDefault="00000000">
      <w:pPr>
        <w:spacing w:after="360" w:line="480" w:lineRule="auto"/>
        <w:jc w:val="both"/>
        <w:rPr>
          <w:rFonts w:ascii="Arial" w:eastAsia="Arial" w:hAnsi="Arial" w:cs="Arial"/>
          <w:i/>
          <w:iCs/>
          <w:sz w:val="24"/>
          <w:szCs w:val="24"/>
        </w:rPr>
      </w:pPr>
      <w:r w:rsidRPr="00780D2B">
        <w:rPr>
          <w:rFonts w:ascii="Arial" w:eastAsia="Arial" w:hAnsi="Arial" w:cs="Arial"/>
          <w:b/>
          <w:bCs/>
          <w:i/>
          <w:iCs/>
          <w:color w:val="000000"/>
          <w:sz w:val="24"/>
          <w:szCs w:val="24"/>
        </w:rPr>
        <w:t xml:space="preserve">Figure </w:t>
      </w:r>
      <w:r w:rsidRPr="00780D2B">
        <w:rPr>
          <w:rFonts w:ascii="Arial" w:eastAsia="Arial" w:hAnsi="Arial" w:cs="Arial"/>
          <w:b/>
          <w:bCs/>
          <w:i/>
          <w:iCs/>
          <w:sz w:val="24"/>
          <w:szCs w:val="24"/>
        </w:rPr>
        <w:t>9</w:t>
      </w:r>
      <w:r w:rsidRPr="00780D2B">
        <w:rPr>
          <w:rFonts w:ascii="Arial" w:eastAsia="Arial" w:hAnsi="Arial" w:cs="Arial"/>
          <w:b/>
          <w:bCs/>
          <w:i/>
          <w:iCs/>
          <w:color w:val="000000"/>
          <w:sz w:val="24"/>
          <w:szCs w:val="24"/>
        </w:rPr>
        <w:t>.</w:t>
      </w:r>
      <w:r w:rsidRPr="00780D2B">
        <w:rPr>
          <w:rFonts w:ascii="Arial" w:eastAsia="Arial" w:hAnsi="Arial" w:cs="Arial"/>
          <w:i/>
          <w:iCs/>
          <w:color w:val="000000"/>
          <w:sz w:val="24"/>
          <w:szCs w:val="24"/>
        </w:rPr>
        <w:t xml:space="preserve"> </w:t>
      </w:r>
      <w:r w:rsidRPr="00780D2B">
        <w:rPr>
          <w:rFonts w:ascii="Arial" w:eastAsia="Arial" w:hAnsi="Arial" w:cs="Arial"/>
          <w:i/>
          <w:iCs/>
          <w:sz w:val="24"/>
          <w:szCs w:val="24"/>
        </w:rPr>
        <w:t>a) Singular values of the power spectral density matrix for the north-south direction, computed from ambient vibration recordings at sensors RE001–RE006 using the FDD method. The curves represent the energy eigenvalues (singular values) obtained from the spectral decomposition of the cross-spectral density matrix. b) Same as a), for the east-west direction. c) Mode shape corresponding to the first dominant spectral peak at 0.44 Hz for the north-south and east-west directions. The mode shape is derived from the singular vectors associated with the largest eigenvalues at the respective peak frequencies.</w:t>
      </w:r>
    </w:p>
    <w:p w14:paraId="63F19F06" w14:textId="77777777" w:rsidR="007D17B2" w:rsidRPr="00780D2B" w:rsidRDefault="00000000">
      <w:pPr>
        <w:spacing w:after="360" w:line="480" w:lineRule="auto"/>
        <w:jc w:val="both"/>
        <w:rPr>
          <w:rFonts w:ascii="Arial" w:eastAsia="Arial" w:hAnsi="Arial" w:cs="Arial"/>
          <w:i/>
          <w:iCs/>
          <w:sz w:val="24"/>
          <w:szCs w:val="24"/>
        </w:rPr>
      </w:pPr>
      <w:r w:rsidRPr="00780D2B">
        <w:rPr>
          <w:rFonts w:ascii="Arial" w:eastAsia="Arial" w:hAnsi="Arial" w:cs="Arial"/>
          <w:i/>
          <w:iCs/>
          <w:sz w:val="24"/>
          <w:szCs w:val="24"/>
        </w:rPr>
        <w:t>[Alt Text: Two plots displaying the singular values of the power spectral density matrix obtained using the FDD methodology, both for the north-south and the east-west components, together with a visual representation of the mode shape corresponding to the first dominant mode at 0.44 Hz.]</w:t>
      </w:r>
    </w:p>
    <w:p w14:paraId="476E8F02" w14:textId="77777777" w:rsidR="007D17B2" w:rsidRPr="00780D2B" w:rsidRDefault="00000000">
      <w:pPr>
        <w:pStyle w:val="Titolo2"/>
        <w:spacing w:line="480" w:lineRule="auto"/>
        <w:ind w:firstLine="720"/>
        <w:rPr>
          <w:rFonts w:ascii="Arial" w:eastAsia="Arial" w:hAnsi="Arial" w:cs="Arial"/>
          <w:i/>
          <w:iCs/>
        </w:rPr>
      </w:pPr>
      <w:bookmarkStart w:id="17" w:name="_heading=h.c0zihailm46y" w:colFirst="0" w:colLast="0"/>
      <w:bookmarkEnd w:id="17"/>
      <w:r w:rsidRPr="00780D2B">
        <w:rPr>
          <w:rFonts w:ascii="Arial" w:eastAsia="Arial" w:hAnsi="Arial" w:cs="Arial"/>
          <w:i/>
          <w:iCs/>
        </w:rPr>
        <w:t>Evaluation of the local seismic site response</w:t>
      </w:r>
    </w:p>
    <w:p w14:paraId="777113CB" w14:textId="4BFA1554" w:rsidR="007D17B2" w:rsidRPr="00780D2B" w:rsidRDefault="00000000">
      <w:pPr>
        <w:spacing w:after="0" w:line="480" w:lineRule="auto"/>
        <w:jc w:val="both"/>
        <w:rPr>
          <w:rFonts w:ascii="Arial" w:eastAsia="Arial" w:hAnsi="Arial" w:cs="Arial"/>
          <w:sz w:val="24"/>
          <w:szCs w:val="24"/>
        </w:rPr>
      </w:pPr>
      <w:r w:rsidRPr="00780D2B">
        <w:rPr>
          <w:rFonts w:ascii="Arial" w:eastAsia="Arial" w:hAnsi="Arial" w:cs="Arial"/>
          <w:sz w:val="24"/>
          <w:szCs w:val="24"/>
        </w:rPr>
        <w:t>To assess the local site response at the RERI borehole location, we computed Fourier amplitude spectral ratios between the surface (RERI.01) and the downhole sensor at 50 m depth (RERI.00). This approach is commonly used to provide a first-order estimate of the seismic site amplification; however, it is well known that the resulting ratios</w:t>
      </w:r>
      <w:r w:rsidR="001C44ED" w:rsidRPr="00780D2B">
        <w:rPr>
          <w:rFonts w:ascii="Arial" w:eastAsia="Arial" w:hAnsi="Arial" w:cs="Arial"/>
          <w:sz w:val="24"/>
          <w:szCs w:val="24"/>
        </w:rPr>
        <w:t xml:space="preserve"> are</w:t>
      </w:r>
      <w:r w:rsidRPr="00780D2B">
        <w:rPr>
          <w:rFonts w:ascii="Arial" w:eastAsia="Arial" w:hAnsi="Arial" w:cs="Arial"/>
          <w:sz w:val="24"/>
          <w:szCs w:val="24"/>
        </w:rPr>
        <w:t xml:space="preserve"> </w:t>
      </w:r>
      <w:r w:rsidRPr="00780D2B">
        <w:rPr>
          <w:rFonts w:ascii="Arial" w:eastAsia="Arial" w:hAnsi="Arial" w:cs="Arial"/>
          <w:sz w:val="24"/>
          <w:szCs w:val="24"/>
        </w:rPr>
        <w:lastRenderedPageBreak/>
        <w:t xml:space="preserve">inherently affected by the effect of </w:t>
      </w:r>
      <w:proofErr w:type="spellStart"/>
      <w:r w:rsidRPr="00780D2B">
        <w:rPr>
          <w:rFonts w:ascii="Arial" w:eastAsia="Arial" w:hAnsi="Arial" w:cs="Arial"/>
          <w:sz w:val="24"/>
          <w:szCs w:val="24"/>
        </w:rPr>
        <w:t>downgoing</w:t>
      </w:r>
      <w:proofErr w:type="spellEnd"/>
      <w:r w:rsidRPr="00780D2B">
        <w:rPr>
          <w:rFonts w:ascii="Arial" w:eastAsia="Arial" w:hAnsi="Arial" w:cs="Arial"/>
          <w:sz w:val="24"/>
          <w:szCs w:val="24"/>
        </w:rPr>
        <w:t xml:space="preserve"> wavefields. Consequently, spurious spectral features may arise from interference between direct and reflected phases rather than from true 1-D resonance of the shallow column (e.g., Mehta et al., 2007; </w:t>
      </w:r>
      <w:proofErr w:type="spellStart"/>
      <w:r w:rsidRPr="00780D2B">
        <w:rPr>
          <w:rFonts w:ascii="Arial" w:eastAsia="Arial" w:hAnsi="Arial" w:cs="Arial"/>
          <w:sz w:val="24"/>
          <w:szCs w:val="24"/>
        </w:rPr>
        <w:t>Parolai</w:t>
      </w:r>
      <w:proofErr w:type="spellEnd"/>
      <w:r w:rsidRPr="00780D2B">
        <w:rPr>
          <w:rFonts w:ascii="Arial" w:eastAsia="Arial" w:hAnsi="Arial" w:cs="Arial"/>
          <w:sz w:val="24"/>
          <w:szCs w:val="24"/>
        </w:rPr>
        <w:t xml:space="preserve"> et al., 2009; Petrovic &amp; </w:t>
      </w:r>
      <w:proofErr w:type="spellStart"/>
      <w:r w:rsidRPr="00780D2B">
        <w:rPr>
          <w:rFonts w:ascii="Arial" w:eastAsia="Arial" w:hAnsi="Arial" w:cs="Arial"/>
          <w:sz w:val="24"/>
          <w:szCs w:val="24"/>
        </w:rPr>
        <w:t>Parolai</w:t>
      </w:r>
      <w:proofErr w:type="spellEnd"/>
      <w:r w:rsidRPr="00780D2B">
        <w:rPr>
          <w:rFonts w:ascii="Arial" w:eastAsia="Arial" w:hAnsi="Arial" w:cs="Arial"/>
          <w:sz w:val="24"/>
          <w:szCs w:val="24"/>
        </w:rPr>
        <w:t xml:space="preserve">, 2016). Potential contamination from soil–structure interaction is also relevant here: seismic energy re-radiated by the Terza Torre can propagate back into the shallow subsurface and affect recordings even outside the building footprint (Petrovic &amp; </w:t>
      </w:r>
      <w:proofErr w:type="spellStart"/>
      <w:r w:rsidRPr="00780D2B">
        <w:rPr>
          <w:rFonts w:ascii="Arial" w:eastAsia="Arial" w:hAnsi="Arial" w:cs="Arial"/>
          <w:sz w:val="24"/>
          <w:szCs w:val="24"/>
        </w:rPr>
        <w:t>Parolai</w:t>
      </w:r>
      <w:proofErr w:type="spellEnd"/>
      <w:r w:rsidRPr="00780D2B">
        <w:rPr>
          <w:rFonts w:ascii="Arial" w:eastAsia="Arial" w:hAnsi="Arial" w:cs="Arial"/>
          <w:sz w:val="24"/>
          <w:szCs w:val="24"/>
        </w:rPr>
        <w:t>, 2016; Petrovic et al., 2018).</w:t>
      </w:r>
    </w:p>
    <w:p w14:paraId="48114B4E" w14:textId="77777777" w:rsidR="007D17B2" w:rsidRPr="00780D2B" w:rsidRDefault="00000000">
      <w:pPr>
        <w:spacing w:after="0" w:line="480" w:lineRule="auto"/>
        <w:jc w:val="both"/>
        <w:rPr>
          <w:rFonts w:ascii="Arial" w:eastAsia="Arial" w:hAnsi="Arial" w:cs="Arial"/>
          <w:sz w:val="24"/>
          <w:szCs w:val="24"/>
        </w:rPr>
      </w:pPr>
      <w:r w:rsidRPr="00780D2B">
        <w:rPr>
          <w:rFonts w:ascii="Arial" w:eastAsia="Arial" w:hAnsi="Arial" w:cs="Arial"/>
          <w:sz w:val="24"/>
          <w:szCs w:val="24"/>
        </w:rPr>
        <w:t xml:space="preserve">Processing applied to ambient-vibration ratios display a smooth, quasi-monotonic increase in amplitude with frequency and no distinct peaks (Figure 10a). This behavior is consistent with the lithostratigraphic observations at RERI, which indicate a gradual increase in stiffness with depth and no sharp impedance contrasts down to 50 m. In contrast, earthquake-based ratios exhibit a narrow-band enhancement around 1.6–1.7 Hz (Figure 10b). We interpret this feature (based on first deconvolution analysis between surface and borehole station) primarily as an interference effect due to </w:t>
      </w:r>
      <w:proofErr w:type="spellStart"/>
      <w:r w:rsidRPr="00780D2B">
        <w:rPr>
          <w:rFonts w:ascii="Arial" w:eastAsia="Arial" w:hAnsi="Arial" w:cs="Arial"/>
          <w:sz w:val="24"/>
          <w:szCs w:val="24"/>
        </w:rPr>
        <w:t>downgoing</w:t>
      </w:r>
      <w:proofErr w:type="spellEnd"/>
      <w:r w:rsidRPr="00780D2B">
        <w:rPr>
          <w:rFonts w:ascii="Arial" w:eastAsia="Arial" w:hAnsi="Arial" w:cs="Arial"/>
          <w:sz w:val="24"/>
          <w:szCs w:val="24"/>
        </w:rPr>
        <w:t xml:space="preserve"> waves (near-surface reflections and/or conversions) that combine with the upgoing motion, rather than as a resonance frequency of the shallow layer stack. This interpretation is supported by the lack of a corresponding peak in the ambient-vibration ratios (whose sources are normally located nearby surface) and by the stratigraphic evidence of a velocity gradient rather than discrete contrasts. </w:t>
      </w:r>
    </w:p>
    <w:p w14:paraId="5A82D337" w14:textId="77777777" w:rsidR="007D17B2" w:rsidRPr="00780D2B" w:rsidRDefault="00000000">
      <w:pPr>
        <w:spacing w:after="0" w:line="480" w:lineRule="auto"/>
        <w:jc w:val="both"/>
        <w:rPr>
          <w:rFonts w:ascii="Arial" w:eastAsia="Arial" w:hAnsi="Arial" w:cs="Arial"/>
          <w:sz w:val="24"/>
          <w:szCs w:val="24"/>
        </w:rPr>
      </w:pPr>
      <w:r w:rsidRPr="00780D2B">
        <w:rPr>
          <w:rFonts w:ascii="Arial" w:eastAsia="Arial" w:hAnsi="Arial" w:cs="Arial"/>
          <w:sz w:val="24"/>
          <w:szCs w:val="24"/>
        </w:rPr>
        <w:t xml:space="preserve">From an interpretative standpoint, frequency bounds can be inferred heuristically from a quarter-wavelength argument. For a 50 m depth and representative shallow shear-wave velocities (Vs) in the 250–330 m/s range (regional studies and nearby investigations), reliable 1-D amplification estimates are expected above ~1.25–1.65 Hz. At lower </w:t>
      </w:r>
      <w:r w:rsidRPr="00780D2B">
        <w:rPr>
          <w:rFonts w:ascii="Arial" w:eastAsia="Arial" w:hAnsi="Arial" w:cs="Arial"/>
          <w:sz w:val="24"/>
          <w:szCs w:val="24"/>
        </w:rPr>
        <w:lastRenderedPageBreak/>
        <w:t xml:space="preserve">frequencies, wavelengths exceed the borehole depth and the two sensors record nearly the same wavefield (ratios approaching ~1), rendering the estimate uninformative for site response. The observed enhancement at 1.6–1.7 Hz thus falls within the nominally reliable band but, given the mixed up/down content and possible SSI influence, it should not be taken as evidence of a well-defined 1-D resonance. </w:t>
      </w:r>
    </w:p>
    <w:p w14:paraId="67EDC3B0" w14:textId="636EDF71" w:rsidR="007D17B2" w:rsidRPr="00780D2B" w:rsidRDefault="00266E6C">
      <w:pPr>
        <w:spacing w:after="0" w:line="480" w:lineRule="auto"/>
        <w:jc w:val="both"/>
        <w:rPr>
          <w:rFonts w:ascii="Arial" w:eastAsia="Arial" w:hAnsi="Arial" w:cs="Arial"/>
          <w:sz w:val="24"/>
          <w:szCs w:val="24"/>
        </w:rPr>
      </w:pPr>
      <w:r w:rsidRPr="00780D2B">
        <w:rPr>
          <w:rFonts w:ascii="Arial" w:eastAsia="Arial" w:hAnsi="Arial" w:cs="Arial"/>
          <w:sz w:val="24"/>
          <w:szCs w:val="24"/>
        </w:rPr>
        <w:t xml:space="preserve">To further quantify the degree of interference and reduce bias from </w:t>
      </w:r>
      <w:proofErr w:type="spellStart"/>
      <w:r w:rsidRPr="00780D2B">
        <w:rPr>
          <w:rFonts w:ascii="Arial" w:eastAsia="Arial" w:hAnsi="Arial" w:cs="Arial"/>
          <w:sz w:val="24"/>
          <w:szCs w:val="24"/>
        </w:rPr>
        <w:t>downgoing</w:t>
      </w:r>
      <w:proofErr w:type="spellEnd"/>
      <w:r w:rsidRPr="00780D2B">
        <w:rPr>
          <w:rFonts w:ascii="Arial" w:eastAsia="Arial" w:hAnsi="Arial" w:cs="Arial"/>
          <w:sz w:val="24"/>
          <w:szCs w:val="24"/>
        </w:rPr>
        <w:t xml:space="preserve"> energy, waveform deconvolution and up/down separation on the vertical array are recommended.</w:t>
      </w:r>
      <w:r w:rsidRPr="00780D2B">
        <w:rPr>
          <w:rFonts w:ascii="Arial" w:eastAsia="Arial" w:hAnsi="Arial" w:cs="Arial"/>
          <w:color w:val="EE0000"/>
          <w:sz w:val="24"/>
          <w:szCs w:val="24"/>
        </w:rPr>
        <w:t xml:space="preserve"> </w:t>
      </w:r>
      <w:r w:rsidRPr="00780D2B">
        <w:rPr>
          <w:rFonts w:ascii="Arial" w:eastAsia="Arial" w:hAnsi="Arial" w:cs="Arial"/>
          <w:sz w:val="24"/>
          <w:szCs w:val="24"/>
        </w:rPr>
        <w:t>A systematic use of upgoing-wave transfer functions (Bindi et al., 2010), together with time–frequency analysis, directional polarization, and (where applicable) magnitude-squared coherence filtering between the two sensors, will provide a more robust estimate of the local site amplification and help disentangle SSI-related contributions from true free-field response.</w:t>
      </w:r>
    </w:p>
    <w:p w14:paraId="2779278E" w14:textId="280A5EA7" w:rsidR="007D17B2" w:rsidRPr="00780D2B" w:rsidRDefault="00000000">
      <w:pPr>
        <w:spacing w:after="0" w:line="480" w:lineRule="auto"/>
        <w:jc w:val="both"/>
        <w:rPr>
          <w:rFonts w:ascii="Arial" w:eastAsia="Arial" w:hAnsi="Arial" w:cs="Arial"/>
          <w:sz w:val="24"/>
          <w:szCs w:val="24"/>
        </w:rPr>
      </w:pPr>
      <w:r w:rsidRPr="00780D2B">
        <w:rPr>
          <w:rFonts w:ascii="Arial" w:eastAsia="Arial" w:hAnsi="Arial" w:cs="Arial"/>
          <w:sz w:val="24"/>
          <w:szCs w:val="24"/>
        </w:rPr>
        <w:t xml:space="preserve">Uncertainty bounds in Figure 10 (±1σ) show limited dispersion, indicating stable ratios across events; however, low variability does not by itself validate a 1-D resonance interpretation when mixed wavefields are present. Taken together, the ambient-noise and earthquake results support a picture of weak to moderate, broadband amplification attributable to a smooth velocity gradient over 0–50 m, with no clear shallow resonance and with earthquake-only narrow-band enhancements plausibly explained by </w:t>
      </w:r>
      <w:proofErr w:type="spellStart"/>
      <w:r w:rsidRPr="00780D2B">
        <w:rPr>
          <w:rFonts w:ascii="Arial" w:eastAsia="Arial" w:hAnsi="Arial" w:cs="Arial"/>
          <w:sz w:val="24"/>
          <w:szCs w:val="24"/>
        </w:rPr>
        <w:t>downgoing</w:t>
      </w:r>
      <w:proofErr w:type="spellEnd"/>
      <w:r w:rsidRPr="00780D2B">
        <w:rPr>
          <w:rFonts w:ascii="Arial" w:eastAsia="Arial" w:hAnsi="Arial" w:cs="Arial"/>
          <w:sz w:val="24"/>
          <w:szCs w:val="24"/>
        </w:rPr>
        <w:t xml:space="preserve"> waves. These findings justify a cautious use of conventional surface-to-downhole ratios in dense urban settings and motivate the adoption of deconvolution-based estimates for future analyses at RERI.</w:t>
      </w:r>
    </w:p>
    <w:p w14:paraId="6DEF4CA6" w14:textId="77777777" w:rsidR="007D17B2" w:rsidRPr="00780D2B" w:rsidRDefault="007D17B2">
      <w:pPr>
        <w:spacing w:after="0" w:line="480" w:lineRule="auto"/>
        <w:jc w:val="both"/>
        <w:rPr>
          <w:rFonts w:ascii="Arial" w:eastAsia="Arial" w:hAnsi="Arial" w:cs="Arial"/>
          <w:sz w:val="24"/>
          <w:szCs w:val="24"/>
        </w:rPr>
      </w:pPr>
    </w:p>
    <w:p w14:paraId="105C62E2" w14:textId="77777777" w:rsidR="007D17B2" w:rsidRPr="00780D2B" w:rsidRDefault="00000000">
      <w:pPr>
        <w:spacing w:after="0" w:line="480" w:lineRule="auto"/>
        <w:rPr>
          <w:rFonts w:ascii="Arial" w:eastAsia="Arial" w:hAnsi="Arial" w:cs="Arial"/>
          <w:sz w:val="24"/>
          <w:szCs w:val="24"/>
        </w:rPr>
      </w:pPr>
      <w:r w:rsidRPr="00780D2B">
        <w:rPr>
          <w:rFonts w:ascii="Arial" w:eastAsia="Arial" w:hAnsi="Arial" w:cs="Arial"/>
          <w:noProof/>
          <w:sz w:val="24"/>
          <w:szCs w:val="24"/>
        </w:rPr>
        <w:lastRenderedPageBreak/>
        <w:drawing>
          <wp:inline distT="114300" distB="114300" distL="114300" distR="114300" wp14:anchorId="3493E706" wp14:editId="2912955E">
            <wp:extent cx="5942648" cy="6030039"/>
            <wp:effectExtent l="0" t="0" r="0" b="0"/>
            <wp:docPr id="1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t="3" b="3"/>
                    <a:stretch>
                      <a:fillRect/>
                    </a:stretch>
                  </pic:blipFill>
                  <pic:spPr>
                    <a:xfrm>
                      <a:off x="0" y="0"/>
                      <a:ext cx="5942648" cy="6030039"/>
                    </a:xfrm>
                    <a:prstGeom prst="rect">
                      <a:avLst/>
                    </a:prstGeom>
                    <a:ln/>
                  </pic:spPr>
                </pic:pic>
              </a:graphicData>
            </a:graphic>
          </wp:inline>
        </w:drawing>
      </w:r>
    </w:p>
    <w:p w14:paraId="434A4534" w14:textId="77777777" w:rsidR="007D17B2" w:rsidRPr="00780D2B" w:rsidRDefault="00000000">
      <w:pPr>
        <w:spacing w:after="240" w:line="480" w:lineRule="auto"/>
        <w:jc w:val="both"/>
        <w:rPr>
          <w:rFonts w:ascii="Arial" w:eastAsia="Arial" w:hAnsi="Arial" w:cs="Arial"/>
          <w:i/>
          <w:iCs/>
          <w:sz w:val="24"/>
          <w:szCs w:val="24"/>
        </w:rPr>
      </w:pPr>
      <w:r w:rsidRPr="00780D2B">
        <w:rPr>
          <w:rFonts w:ascii="Arial" w:eastAsia="Arial" w:hAnsi="Arial" w:cs="Arial"/>
          <w:b/>
          <w:bCs/>
          <w:i/>
          <w:iCs/>
          <w:sz w:val="24"/>
          <w:szCs w:val="24"/>
        </w:rPr>
        <w:t>Figure 10.</w:t>
      </w:r>
      <w:r w:rsidRPr="00780D2B">
        <w:rPr>
          <w:rFonts w:ascii="Arial" w:eastAsia="Arial" w:hAnsi="Arial" w:cs="Arial"/>
          <w:i/>
          <w:iCs/>
          <w:sz w:val="24"/>
          <w:szCs w:val="24"/>
        </w:rPr>
        <w:t xml:space="preserve"> Fourier spectral ratios computed using the RERI.00 sensor (located at the base of the borehole) as a reference. a) Average spectral ratios from ambient vibration recordings, based on 10-minute time windows. b) Spectral ratios from local earthquake recordings; bold curves indicate the average spectrum for each component (EHE, EHN, EHZ) and dashed lines represent the ±1</w:t>
      </w:r>
      <w:r w:rsidRPr="00780D2B">
        <w:rPr>
          <w:rFonts w:ascii="Cambria Math" w:eastAsia="Cambria Math" w:hAnsi="Cambria Math" w:cs="Cambria Math"/>
          <w:i/>
          <w:iCs/>
          <w:sz w:val="24"/>
          <w:szCs w:val="24"/>
        </w:rPr>
        <w:t>𝜎</w:t>
      </w:r>
      <w:r w:rsidRPr="00780D2B">
        <w:rPr>
          <w:rFonts w:ascii="Arial" w:eastAsia="Arial" w:hAnsi="Arial" w:cs="Arial"/>
          <w:i/>
          <w:iCs/>
          <w:sz w:val="24"/>
          <w:szCs w:val="24"/>
        </w:rPr>
        <w:t xml:space="preserve">. </w:t>
      </w:r>
    </w:p>
    <w:p w14:paraId="134DB236" w14:textId="77777777" w:rsidR="007D17B2" w:rsidRPr="00780D2B" w:rsidRDefault="00000000">
      <w:pPr>
        <w:spacing w:after="0" w:line="480" w:lineRule="auto"/>
        <w:jc w:val="both"/>
        <w:rPr>
          <w:rFonts w:ascii="Arial" w:eastAsia="Arial" w:hAnsi="Arial" w:cs="Arial"/>
          <w:i/>
          <w:iCs/>
          <w:sz w:val="24"/>
          <w:szCs w:val="24"/>
        </w:rPr>
      </w:pPr>
      <w:r w:rsidRPr="00780D2B">
        <w:rPr>
          <w:rFonts w:ascii="Arial" w:eastAsia="Arial" w:hAnsi="Arial" w:cs="Arial"/>
          <w:i/>
          <w:iCs/>
          <w:sz w:val="24"/>
          <w:szCs w:val="24"/>
        </w:rPr>
        <w:lastRenderedPageBreak/>
        <w:t>[Alt Text: Two plots representing the average Fourier spectral ratios computed using ambient vibration and earthquake recordings from the borehole, for the three motion components; station RERI.00 was used as a reference.]</w:t>
      </w:r>
    </w:p>
    <w:p w14:paraId="26BA7EB0" w14:textId="77777777" w:rsidR="007D17B2" w:rsidRPr="00780D2B" w:rsidRDefault="007D17B2">
      <w:pPr>
        <w:pBdr>
          <w:top w:val="nil"/>
          <w:left w:val="nil"/>
          <w:bottom w:val="nil"/>
          <w:right w:val="nil"/>
          <w:between w:val="nil"/>
        </w:pBdr>
        <w:spacing w:after="0" w:line="480" w:lineRule="auto"/>
        <w:jc w:val="both"/>
        <w:rPr>
          <w:rFonts w:ascii="Arial" w:eastAsia="Arial" w:hAnsi="Arial" w:cs="Arial"/>
          <w:color w:val="000000"/>
          <w:sz w:val="24"/>
          <w:szCs w:val="24"/>
        </w:rPr>
      </w:pPr>
    </w:p>
    <w:p w14:paraId="5B9ADAD6" w14:textId="77777777" w:rsidR="007D17B2" w:rsidRPr="00780D2B" w:rsidRDefault="00000000">
      <w:pPr>
        <w:pStyle w:val="Titolo1"/>
        <w:spacing w:line="480" w:lineRule="auto"/>
        <w:rPr>
          <w:rFonts w:ascii="Arial" w:eastAsia="Arial" w:hAnsi="Arial" w:cs="Arial"/>
        </w:rPr>
      </w:pPr>
      <w:bookmarkStart w:id="18" w:name="_heading=h.97gdqwlzewkr" w:colFirst="0" w:colLast="0"/>
      <w:bookmarkEnd w:id="18"/>
      <w:r w:rsidRPr="00780D2B">
        <w:rPr>
          <w:rFonts w:ascii="Arial" w:eastAsia="Arial" w:hAnsi="Arial" w:cs="Arial"/>
        </w:rPr>
        <w:t>Summary</w:t>
      </w:r>
    </w:p>
    <w:p w14:paraId="5ECA26B9" w14:textId="433E3A35" w:rsidR="007D17B2" w:rsidRPr="00780D2B" w:rsidRDefault="00000000">
      <w:pPr>
        <w:spacing w:before="240" w:after="0" w:line="480" w:lineRule="auto"/>
        <w:jc w:val="both"/>
        <w:rPr>
          <w:rFonts w:ascii="Arial" w:eastAsia="Arial" w:hAnsi="Arial" w:cs="Arial"/>
          <w:sz w:val="24"/>
          <w:szCs w:val="24"/>
        </w:rPr>
      </w:pPr>
      <w:r w:rsidRPr="00780D2B">
        <w:rPr>
          <w:rFonts w:ascii="Arial" w:eastAsia="Arial" w:hAnsi="Arial" w:cs="Arial"/>
          <w:sz w:val="24"/>
          <w:szCs w:val="24"/>
        </w:rPr>
        <w:t xml:space="preserve">The “Terza Torre” experiment was designed </w:t>
      </w:r>
      <w:r w:rsidR="001C44ED" w:rsidRPr="00780D2B">
        <w:rPr>
          <w:rFonts w:ascii="Arial" w:eastAsia="Arial" w:hAnsi="Arial" w:cs="Arial"/>
          <w:sz w:val="24"/>
          <w:szCs w:val="24"/>
        </w:rPr>
        <w:t xml:space="preserve">as a long-term </w:t>
      </w:r>
      <w:r w:rsidR="005A2EDC" w:rsidRPr="00780D2B">
        <w:rPr>
          <w:rFonts w:ascii="Arial" w:eastAsia="Arial" w:hAnsi="Arial" w:cs="Arial"/>
          <w:sz w:val="24"/>
          <w:szCs w:val="24"/>
        </w:rPr>
        <w:t xml:space="preserve">monitoring </w:t>
      </w:r>
      <w:r w:rsidR="00266E6C" w:rsidRPr="00780D2B">
        <w:rPr>
          <w:rFonts w:ascii="Arial" w:eastAsia="Arial" w:hAnsi="Arial" w:cs="Arial"/>
          <w:sz w:val="24"/>
          <w:szCs w:val="24"/>
        </w:rPr>
        <w:t>installation to characterize a target strategic building, while also enabling the study of</w:t>
      </w:r>
      <w:r w:rsidR="005A2EDC" w:rsidRPr="00780D2B">
        <w:rPr>
          <w:rFonts w:ascii="Arial" w:eastAsia="Arial" w:hAnsi="Arial" w:cs="Arial"/>
          <w:sz w:val="24"/>
          <w:szCs w:val="24"/>
        </w:rPr>
        <w:t xml:space="preserve"> soil-structure </w:t>
      </w:r>
      <w:r w:rsidR="00780591" w:rsidRPr="00780D2B">
        <w:rPr>
          <w:rFonts w:ascii="Arial" w:eastAsia="Arial" w:hAnsi="Arial" w:cs="Arial"/>
          <w:sz w:val="24"/>
          <w:szCs w:val="24"/>
        </w:rPr>
        <w:t xml:space="preserve">systems such as wave propagation and possible soil-structure interaction phenomena </w:t>
      </w:r>
      <w:r w:rsidRPr="00780D2B">
        <w:rPr>
          <w:rFonts w:ascii="Arial" w:eastAsia="Arial" w:hAnsi="Arial" w:cs="Arial"/>
          <w:sz w:val="24"/>
          <w:szCs w:val="24"/>
        </w:rPr>
        <w:t xml:space="preserve">in an urban, seismically active area of </w:t>
      </w:r>
      <w:r w:rsidR="001C44ED" w:rsidRPr="00780D2B">
        <w:rPr>
          <w:rFonts w:ascii="Arial" w:eastAsia="Arial" w:hAnsi="Arial" w:cs="Arial"/>
          <w:sz w:val="24"/>
          <w:szCs w:val="24"/>
        </w:rPr>
        <w:t>Northern Italy</w:t>
      </w:r>
      <w:r w:rsidRPr="00780D2B">
        <w:rPr>
          <w:rFonts w:ascii="Arial" w:eastAsia="Arial" w:hAnsi="Arial" w:cs="Arial"/>
          <w:sz w:val="24"/>
          <w:szCs w:val="24"/>
        </w:rPr>
        <w:t>. The monitoring infrastructure combines eight co-located velocimetric and accelerometric stations (compact and cost-effective units) installed as a vertical array along the main tower, with a two-level borehole installation equipped with high-quality velocimetric sensors at 0 and 50 m depth. The sensor configuration was selected to maximize vertical resolution and sensitivity to both structural response and local ground motion, while maintaining real-time data transmission and robust acquisition performance.</w:t>
      </w:r>
    </w:p>
    <w:p w14:paraId="0C3C5F07" w14:textId="77777777" w:rsidR="007D17B2" w:rsidRPr="00780D2B" w:rsidRDefault="00000000">
      <w:pPr>
        <w:spacing w:before="240" w:after="0" w:line="480" w:lineRule="auto"/>
        <w:jc w:val="both"/>
        <w:rPr>
          <w:rFonts w:ascii="Arial" w:eastAsia="Arial" w:hAnsi="Arial" w:cs="Arial"/>
          <w:sz w:val="24"/>
          <w:szCs w:val="24"/>
        </w:rPr>
      </w:pPr>
      <w:r w:rsidRPr="00780D2B">
        <w:rPr>
          <w:rFonts w:ascii="Arial" w:eastAsia="Arial" w:hAnsi="Arial" w:cs="Arial"/>
          <w:sz w:val="24"/>
          <w:szCs w:val="24"/>
        </w:rPr>
        <w:t xml:space="preserve">Over the first two years of continuous operation (since March 2023), the network recorded dozens of local and regional earthquakes, including events up to ML 4.8. Despite elevated background noise due to the urban environment, the system has demonstrated good stability and coverage. We compiled a selected dataset of recordings for 30 events that occurred between March 2023 and July 2025 within 80 km from the test site, with magnitudes in the range ML 3.0-4.8. To suit both seismological and engineering communities, we provide the dataset as raw and corrected data, with an embargo of two years from the article publication.   </w:t>
      </w:r>
    </w:p>
    <w:p w14:paraId="0F9A2280" w14:textId="59BF019B" w:rsidR="002101C6" w:rsidRPr="00780D2B" w:rsidRDefault="00000000">
      <w:pPr>
        <w:spacing w:before="240" w:after="0" w:line="480" w:lineRule="auto"/>
        <w:jc w:val="both"/>
        <w:rPr>
          <w:rFonts w:ascii="Arial" w:eastAsia="Arial" w:hAnsi="Arial" w:cs="Arial"/>
          <w:color w:val="EE0000"/>
          <w:sz w:val="24"/>
          <w:szCs w:val="24"/>
        </w:rPr>
      </w:pPr>
      <w:r w:rsidRPr="00780D2B">
        <w:rPr>
          <w:rFonts w:ascii="Arial" w:eastAsia="Arial" w:hAnsi="Arial" w:cs="Arial"/>
          <w:sz w:val="24"/>
          <w:szCs w:val="24"/>
        </w:rPr>
        <w:lastRenderedPageBreak/>
        <w:t xml:space="preserve">A detailed inspection conducted on the spectra of local earthquake records provides the potential user with information on the quality of the dataset in terms of SNR, and on its possible applications and limitations. Three possible applications of the dataset are exemplified, showing the potential to extract information on the building’s fundamental frequencies and the corresponding modes, by applying spectral ratio analysis and FDD on the on-building recordings, and </w:t>
      </w:r>
      <w:r w:rsidR="005A2EDC" w:rsidRPr="00780D2B">
        <w:rPr>
          <w:rFonts w:ascii="Arial" w:eastAsia="Arial" w:hAnsi="Arial" w:cs="Arial"/>
          <w:sz w:val="24"/>
          <w:szCs w:val="24"/>
        </w:rPr>
        <w:t>to investigate</w:t>
      </w:r>
      <w:r w:rsidRPr="00780D2B">
        <w:rPr>
          <w:rFonts w:ascii="Arial" w:eastAsia="Arial" w:hAnsi="Arial" w:cs="Arial"/>
          <w:sz w:val="24"/>
          <w:szCs w:val="24"/>
        </w:rPr>
        <w:t xml:space="preserve"> the local site response </w:t>
      </w:r>
      <w:r w:rsidR="005A2EDC" w:rsidRPr="00780D2B">
        <w:rPr>
          <w:rFonts w:ascii="Arial" w:eastAsia="Arial" w:hAnsi="Arial" w:cs="Arial"/>
          <w:sz w:val="24"/>
          <w:szCs w:val="24"/>
        </w:rPr>
        <w:t xml:space="preserve">using </w:t>
      </w:r>
      <w:r w:rsidRPr="00780D2B">
        <w:rPr>
          <w:rFonts w:ascii="Arial" w:eastAsia="Arial" w:hAnsi="Arial" w:cs="Arial"/>
          <w:sz w:val="24"/>
          <w:szCs w:val="24"/>
        </w:rPr>
        <w:t>the data recorded by the borehole installation. The initial observations gathered through these analyses are not meant to provide an exhaustive description of the dynamic properties of the building and the subsoil; they are aimed at testing the quality and applicability of the dataset while providing a starting point for further analyses.</w:t>
      </w:r>
      <w:r w:rsidR="002101C6" w:rsidRPr="00780D2B">
        <w:rPr>
          <w:rFonts w:ascii="Arial" w:eastAsia="Arial" w:hAnsi="Arial" w:cs="Arial"/>
          <w:sz w:val="24"/>
          <w:szCs w:val="24"/>
        </w:rPr>
        <w:t xml:space="preserve"> </w:t>
      </w:r>
      <w:r w:rsidR="00780591" w:rsidRPr="00780D2B">
        <w:rPr>
          <w:rFonts w:ascii="Arial" w:eastAsia="Arial" w:hAnsi="Arial" w:cs="Arial"/>
          <w:sz w:val="24"/>
          <w:szCs w:val="24"/>
        </w:rPr>
        <w:t>Over</w:t>
      </w:r>
      <w:r w:rsidR="002101C6" w:rsidRPr="00780D2B">
        <w:rPr>
          <w:rFonts w:ascii="Arial" w:eastAsia="Arial" w:hAnsi="Arial" w:cs="Arial"/>
          <w:sz w:val="24"/>
          <w:szCs w:val="24"/>
        </w:rPr>
        <w:t xml:space="preserve"> time, the dataset is expected to b</w:t>
      </w:r>
      <w:r w:rsidR="002A55C2" w:rsidRPr="00780D2B">
        <w:rPr>
          <w:rFonts w:ascii="Arial" w:eastAsia="Arial" w:hAnsi="Arial" w:cs="Arial"/>
          <w:sz w:val="24"/>
          <w:szCs w:val="24"/>
        </w:rPr>
        <w:t xml:space="preserve">e enriched with </w:t>
      </w:r>
      <w:r w:rsidR="00780591" w:rsidRPr="00780D2B">
        <w:rPr>
          <w:rFonts w:ascii="Arial" w:eastAsia="Arial" w:hAnsi="Arial" w:cs="Arial"/>
          <w:sz w:val="24"/>
          <w:szCs w:val="24"/>
        </w:rPr>
        <w:t>additional seismic</w:t>
      </w:r>
      <w:r w:rsidR="002A55C2" w:rsidRPr="00780D2B">
        <w:rPr>
          <w:rFonts w:ascii="Arial" w:eastAsia="Arial" w:hAnsi="Arial" w:cs="Arial"/>
          <w:sz w:val="24"/>
          <w:szCs w:val="24"/>
        </w:rPr>
        <w:t xml:space="preserve"> events</w:t>
      </w:r>
      <w:r w:rsidR="00780591" w:rsidRPr="00780D2B">
        <w:rPr>
          <w:rFonts w:ascii="Arial" w:eastAsia="Arial" w:hAnsi="Arial" w:cs="Arial"/>
          <w:sz w:val="24"/>
          <w:szCs w:val="24"/>
        </w:rPr>
        <w:t xml:space="preserve">, </w:t>
      </w:r>
      <w:r w:rsidR="002A55C2" w:rsidRPr="00780D2B">
        <w:rPr>
          <w:rFonts w:ascii="Arial" w:eastAsia="Arial" w:hAnsi="Arial" w:cs="Arial"/>
          <w:sz w:val="24"/>
          <w:szCs w:val="24"/>
        </w:rPr>
        <w:t>po</w:t>
      </w:r>
      <w:r w:rsidR="00780591" w:rsidRPr="00780D2B">
        <w:rPr>
          <w:rFonts w:ascii="Arial" w:eastAsia="Arial" w:hAnsi="Arial" w:cs="Arial"/>
          <w:sz w:val="24"/>
          <w:szCs w:val="24"/>
        </w:rPr>
        <w:t>tential</w:t>
      </w:r>
      <w:r w:rsidR="002A55C2" w:rsidRPr="00780D2B">
        <w:rPr>
          <w:rFonts w:ascii="Arial" w:eastAsia="Arial" w:hAnsi="Arial" w:cs="Arial"/>
          <w:sz w:val="24"/>
          <w:szCs w:val="24"/>
        </w:rPr>
        <w:t xml:space="preserve">ly </w:t>
      </w:r>
      <w:r w:rsidR="00780591" w:rsidRPr="00780D2B">
        <w:rPr>
          <w:rFonts w:ascii="Arial" w:eastAsia="Arial" w:hAnsi="Arial" w:cs="Arial"/>
          <w:sz w:val="24"/>
          <w:szCs w:val="24"/>
        </w:rPr>
        <w:t xml:space="preserve">including strong-motion events. Combined with </w:t>
      </w:r>
      <w:r w:rsidR="002A55C2" w:rsidRPr="00780D2B">
        <w:rPr>
          <w:rFonts w:ascii="Arial" w:eastAsia="Arial" w:hAnsi="Arial" w:cs="Arial"/>
          <w:sz w:val="24"/>
          <w:szCs w:val="24"/>
        </w:rPr>
        <w:t>a more detailed site characterization</w:t>
      </w:r>
      <w:r w:rsidR="00780591" w:rsidRPr="00780D2B">
        <w:rPr>
          <w:rFonts w:ascii="Arial" w:eastAsia="Arial" w:hAnsi="Arial" w:cs="Arial"/>
          <w:sz w:val="24"/>
          <w:szCs w:val="24"/>
        </w:rPr>
        <w:t>, which is currently planned, these data could support m</w:t>
      </w:r>
      <w:r w:rsidR="002A55C2" w:rsidRPr="00780D2B">
        <w:rPr>
          <w:rFonts w:ascii="Arial" w:eastAsia="Arial" w:hAnsi="Arial" w:cs="Arial"/>
          <w:sz w:val="24"/>
          <w:szCs w:val="24"/>
        </w:rPr>
        <w:t>ore advanced simulations such as SSI studies</w:t>
      </w:r>
      <w:r w:rsidR="00780591" w:rsidRPr="00780D2B">
        <w:rPr>
          <w:rFonts w:ascii="Arial" w:eastAsia="Arial" w:hAnsi="Arial" w:cs="Arial"/>
          <w:sz w:val="24"/>
          <w:szCs w:val="24"/>
        </w:rPr>
        <w:t xml:space="preserve"> accounting for </w:t>
      </w:r>
      <w:r w:rsidR="002A55C2" w:rsidRPr="00780D2B">
        <w:rPr>
          <w:rFonts w:ascii="Arial" w:eastAsia="Arial" w:hAnsi="Arial" w:cs="Arial"/>
          <w:sz w:val="24"/>
          <w:szCs w:val="24"/>
        </w:rPr>
        <w:t>nonlinear SSI effects.</w:t>
      </w:r>
      <w:r w:rsidR="00780591" w:rsidRPr="00780D2B">
        <w:rPr>
          <w:rFonts w:ascii="Arial" w:eastAsia="Arial" w:hAnsi="Arial" w:cs="Arial"/>
          <w:sz w:val="24"/>
          <w:szCs w:val="24"/>
        </w:rPr>
        <w:t xml:space="preserve"> They could furthermore be exploited for damage assessment, the analysis of damage progression, and the development of associated methodologies. </w:t>
      </w:r>
      <w:r w:rsidR="002A55C2" w:rsidRPr="00780D2B">
        <w:rPr>
          <w:rFonts w:ascii="Arial" w:eastAsia="Arial" w:hAnsi="Arial" w:cs="Arial"/>
          <w:sz w:val="24"/>
          <w:szCs w:val="24"/>
        </w:rPr>
        <w:t xml:space="preserve"> </w:t>
      </w:r>
    </w:p>
    <w:p w14:paraId="07697040" w14:textId="77777777" w:rsidR="007D17B2" w:rsidRPr="00780D2B" w:rsidRDefault="00000000">
      <w:pPr>
        <w:spacing w:before="240" w:after="0" w:line="480" w:lineRule="auto"/>
        <w:jc w:val="both"/>
        <w:rPr>
          <w:rFonts w:ascii="Arial" w:eastAsia="Arial" w:hAnsi="Arial" w:cs="Arial"/>
          <w:sz w:val="24"/>
          <w:szCs w:val="24"/>
        </w:rPr>
      </w:pPr>
      <w:r w:rsidRPr="00780D2B">
        <w:rPr>
          <w:rFonts w:ascii="Arial" w:eastAsia="Arial" w:hAnsi="Arial" w:cs="Arial"/>
          <w:sz w:val="24"/>
          <w:szCs w:val="24"/>
        </w:rPr>
        <w:t xml:space="preserve">Although preliminary, some interesting observations can be made from the analyses carried out to exemplify the possible applications of the dataset. The initial observations determined on the Terza Torre building show that FEM and both FASR and FDD are in agreement, as the observations from ambient noise analysis provide a clear amplification in 0.44 Hz and 0.71 Hz which are similar to the 0.39-0.41 and 0.69 Hz peaks reported in the FEM. Observations from the building also allow us to identify higher modes around 1.76 Hz, 2.30 Hz, 2.80 Hz, and 3.60 Hz. In the borehole no specific soil amplification is </w:t>
      </w:r>
      <w:r w:rsidRPr="00780D2B">
        <w:rPr>
          <w:rFonts w:ascii="Arial" w:eastAsia="Arial" w:hAnsi="Arial" w:cs="Arial"/>
          <w:sz w:val="24"/>
          <w:szCs w:val="24"/>
        </w:rPr>
        <w:lastRenderedPageBreak/>
        <w:t xml:space="preserve">observed in the FASR analysis with ambient noise vibration, whereas in the earthquake data a clear peak is observed around 1.6 - 1.7 Hz which can be linked to the </w:t>
      </w:r>
      <w:proofErr w:type="spellStart"/>
      <w:r w:rsidRPr="00780D2B">
        <w:rPr>
          <w:rFonts w:ascii="Arial" w:eastAsia="Arial" w:hAnsi="Arial" w:cs="Arial"/>
          <w:sz w:val="24"/>
          <w:szCs w:val="24"/>
        </w:rPr>
        <w:t>downgoing</w:t>
      </w:r>
      <w:proofErr w:type="spellEnd"/>
      <w:r w:rsidRPr="00780D2B">
        <w:rPr>
          <w:rFonts w:ascii="Arial" w:eastAsia="Arial" w:hAnsi="Arial" w:cs="Arial"/>
          <w:sz w:val="24"/>
          <w:szCs w:val="24"/>
        </w:rPr>
        <w:t xml:space="preserve"> and upgoing earthquake waves. </w:t>
      </w:r>
    </w:p>
    <w:p w14:paraId="73040B5C" w14:textId="782CE063" w:rsidR="007D17B2" w:rsidRPr="00780D2B" w:rsidRDefault="00000000">
      <w:pPr>
        <w:spacing w:before="240" w:after="0" w:line="480" w:lineRule="auto"/>
        <w:jc w:val="both"/>
        <w:rPr>
          <w:rFonts w:ascii="Arial" w:eastAsia="Arial" w:hAnsi="Arial" w:cs="Arial"/>
          <w:color w:val="EE0000"/>
          <w:sz w:val="24"/>
          <w:szCs w:val="24"/>
        </w:rPr>
      </w:pPr>
      <w:r w:rsidRPr="00780D2B">
        <w:rPr>
          <w:rFonts w:ascii="Arial" w:eastAsia="Arial" w:hAnsi="Arial" w:cs="Arial"/>
          <w:sz w:val="24"/>
          <w:szCs w:val="24"/>
        </w:rPr>
        <w:t xml:space="preserve">The continuous operation of the Terza Torre network offers a valuable opportunity to investigate temporal variations in structural response, which may occur as variations in dynamic behavior due to environmental conditions (Clinton </w:t>
      </w:r>
      <w:r w:rsidRPr="00780D2B">
        <w:rPr>
          <w:rFonts w:ascii="Arial" w:eastAsia="Arial" w:hAnsi="Arial" w:cs="Arial"/>
          <w:i/>
          <w:iCs/>
          <w:sz w:val="24"/>
          <w:szCs w:val="24"/>
        </w:rPr>
        <w:t>et al.</w:t>
      </w:r>
      <w:r w:rsidRPr="00780D2B">
        <w:rPr>
          <w:rFonts w:ascii="Arial" w:eastAsia="Arial" w:hAnsi="Arial" w:cs="Arial"/>
          <w:sz w:val="24"/>
          <w:szCs w:val="24"/>
        </w:rPr>
        <w:t xml:space="preserve">, 2006; </w:t>
      </w:r>
      <w:proofErr w:type="spellStart"/>
      <w:r w:rsidRPr="00780D2B">
        <w:rPr>
          <w:rFonts w:ascii="Arial" w:eastAsia="Arial" w:hAnsi="Arial" w:cs="Arial"/>
          <w:sz w:val="24"/>
          <w:szCs w:val="24"/>
        </w:rPr>
        <w:t>Pitilakis</w:t>
      </w:r>
      <w:proofErr w:type="spellEnd"/>
      <w:r w:rsidRPr="00780D2B">
        <w:rPr>
          <w:rFonts w:ascii="Arial" w:eastAsia="Arial" w:hAnsi="Arial" w:cs="Arial"/>
          <w:sz w:val="24"/>
          <w:szCs w:val="24"/>
        </w:rPr>
        <w:t xml:space="preserve"> </w:t>
      </w:r>
      <w:r w:rsidRPr="00780D2B">
        <w:rPr>
          <w:rFonts w:ascii="Arial" w:eastAsia="Arial" w:hAnsi="Arial" w:cs="Arial"/>
          <w:i/>
          <w:iCs/>
          <w:sz w:val="24"/>
          <w:szCs w:val="24"/>
        </w:rPr>
        <w:t>et al.</w:t>
      </w:r>
      <w:r w:rsidRPr="00780D2B">
        <w:rPr>
          <w:rFonts w:ascii="Arial" w:eastAsia="Arial" w:hAnsi="Arial" w:cs="Arial"/>
          <w:sz w:val="24"/>
          <w:szCs w:val="24"/>
        </w:rPr>
        <w:t xml:space="preserve">, 2016) and transient shaking (Herak and Herak, 2010; Williams </w:t>
      </w:r>
      <w:r w:rsidRPr="00780D2B">
        <w:rPr>
          <w:rFonts w:ascii="Arial" w:eastAsia="Arial" w:hAnsi="Arial" w:cs="Arial"/>
          <w:i/>
          <w:iCs/>
          <w:sz w:val="24"/>
          <w:szCs w:val="24"/>
        </w:rPr>
        <w:t>et al.</w:t>
      </w:r>
      <w:r w:rsidRPr="00780D2B">
        <w:rPr>
          <w:rFonts w:ascii="Arial" w:eastAsia="Arial" w:hAnsi="Arial" w:cs="Arial"/>
          <w:sz w:val="24"/>
          <w:szCs w:val="24"/>
        </w:rPr>
        <w:t>, 2022). The current configuration provides high-resolution data along the height of the building, allowing detailed assessments of parameters such as inter-story drift, peak horizontal velocity, and changes in vibrational frequencies and wave propagation velocities. Future strong events may enable the investigation of non-linear behavior under moderate to large ground motions (</w:t>
      </w:r>
      <w:proofErr w:type="spellStart"/>
      <w:r w:rsidRPr="00780D2B">
        <w:rPr>
          <w:rFonts w:ascii="Arial" w:eastAsia="Arial" w:hAnsi="Arial" w:cs="Arial"/>
          <w:sz w:val="24"/>
          <w:szCs w:val="24"/>
        </w:rPr>
        <w:t>Guéguen</w:t>
      </w:r>
      <w:proofErr w:type="spellEnd"/>
      <w:r w:rsidRPr="00780D2B">
        <w:rPr>
          <w:rFonts w:ascii="Arial" w:eastAsia="Arial" w:hAnsi="Arial" w:cs="Arial"/>
          <w:sz w:val="24"/>
          <w:szCs w:val="24"/>
        </w:rPr>
        <w:t xml:space="preserve"> </w:t>
      </w:r>
      <w:r w:rsidRPr="00780D2B">
        <w:rPr>
          <w:rFonts w:ascii="Arial" w:eastAsia="Arial" w:hAnsi="Arial" w:cs="Arial"/>
          <w:i/>
          <w:iCs/>
          <w:sz w:val="24"/>
          <w:szCs w:val="24"/>
        </w:rPr>
        <w:t>et al.</w:t>
      </w:r>
      <w:r w:rsidRPr="00780D2B">
        <w:rPr>
          <w:rFonts w:ascii="Arial" w:eastAsia="Arial" w:hAnsi="Arial" w:cs="Arial"/>
          <w:sz w:val="24"/>
          <w:szCs w:val="24"/>
        </w:rPr>
        <w:t>, 2023), while ambient vibration records of the velocimeters could help detect seasonal or progressive changes in stiffness.</w:t>
      </w:r>
      <w:r w:rsidR="00780591" w:rsidRPr="00780D2B">
        <w:rPr>
          <w:rFonts w:ascii="Arial" w:eastAsia="Arial" w:hAnsi="Arial" w:cs="Arial"/>
          <w:sz w:val="24"/>
          <w:szCs w:val="24"/>
        </w:rPr>
        <w:t xml:space="preserve"> The geometry of the infrastructure, with synchronized building-borehole recordings, also enables the study of wave propagation both in the building and soil.</w:t>
      </w:r>
    </w:p>
    <w:p w14:paraId="7D34BD86" w14:textId="77777777" w:rsidR="007D17B2" w:rsidRPr="00780D2B" w:rsidRDefault="00000000">
      <w:pPr>
        <w:spacing w:before="240" w:after="0" w:line="480" w:lineRule="auto"/>
        <w:jc w:val="both"/>
        <w:rPr>
          <w:rFonts w:ascii="Arial" w:eastAsia="Arial" w:hAnsi="Arial" w:cs="Arial"/>
          <w:sz w:val="24"/>
          <w:szCs w:val="24"/>
        </w:rPr>
      </w:pPr>
      <w:r w:rsidRPr="00780D2B">
        <w:rPr>
          <w:rFonts w:ascii="Arial" w:eastAsia="Arial" w:hAnsi="Arial" w:cs="Arial"/>
          <w:sz w:val="24"/>
          <w:szCs w:val="24"/>
        </w:rPr>
        <w:t xml:space="preserve">Given the vertical resolution and co-located velocimetric–accelerometric instrumentation, the current array is also well-suited for estimating dynamic response indicators directly linked to potential damage in the building and/or surrounding areas (e.g., </w:t>
      </w:r>
      <w:proofErr w:type="spellStart"/>
      <w:r w:rsidRPr="00780D2B">
        <w:rPr>
          <w:rFonts w:ascii="Arial" w:eastAsia="Arial" w:hAnsi="Arial" w:cs="Arial"/>
          <w:sz w:val="24"/>
          <w:szCs w:val="24"/>
        </w:rPr>
        <w:t>Scaini</w:t>
      </w:r>
      <w:proofErr w:type="spellEnd"/>
      <w:r w:rsidRPr="00780D2B">
        <w:rPr>
          <w:rFonts w:ascii="Arial" w:eastAsia="Arial" w:hAnsi="Arial" w:cs="Arial"/>
          <w:sz w:val="24"/>
          <w:szCs w:val="24"/>
        </w:rPr>
        <w:t xml:space="preserve"> </w:t>
      </w:r>
      <w:r w:rsidRPr="00780D2B">
        <w:rPr>
          <w:rFonts w:ascii="Arial" w:eastAsia="Arial" w:hAnsi="Arial" w:cs="Arial"/>
          <w:i/>
          <w:iCs/>
          <w:sz w:val="24"/>
          <w:szCs w:val="24"/>
        </w:rPr>
        <w:t>et al.</w:t>
      </w:r>
      <w:r w:rsidRPr="00780D2B">
        <w:rPr>
          <w:rFonts w:ascii="Arial" w:eastAsia="Arial" w:hAnsi="Arial" w:cs="Arial"/>
          <w:sz w:val="24"/>
          <w:szCs w:val="24"/>
        </w:rPr>
        <w:t xml:space="preserve">, 2021; Petrovic </w:t>
      </w:r>
      <w:r w:rsidRPr="00780D2B">
        <w:rPr>
          <w:rFonts w:ascii="Arial" w:eastAsia="Arial" w:hAnsi="Arial" w:cs="Arial"/>
          <w:i/>
          <w:iCs/>
          <w:sz w:val="24"/>
          <w:szCs w:val="24"/>
        </w:rPr>
        <w:t>et al.</w:t>
      </w:r>
      <w:r w:rsidRPr="00780D2B">
        <w:rPr>
          <w:rFonts w:ascii="Arial" w:eastAsia="Arial" w:hAnsi="Arial" w:cs="Arial"/>
          <w:sz w:val="24"/>
          <w:szCs w:val="24"/>
        </w:rPr>
        <w:t xml:space="preserve">, 2022). In particular, inter-story drift can be computed with high accuracy, allowing for the evaluation of drift-based damage metrics during moderate to strong ground shaking. This enables both a prior evaluation of the building’s structural vulnerability, by directly assessing the structural parameters, and a post-event inference of actual damage. The dataset can support analyses that relate maximum drift or </w:t>
      </w:r>
      <w:r w:rsidRPr="00780D2B">
        <w:rPr>
          <w:rFonts w:ascii="Arial" w:eastAsia="Arial" w:hAnsi="Arial" w:cs="Arial"/>
          <w:sz w:val="24"/>
          <w:szCs w:val="24"/>
        </w:rPr>
        <w:lastRenderedPageBreak/>
        <w:t xml:space="preserve">displacement to structural and non-structural performance limits, in line with recent approaches in performance-based earthquake engineering (Chou </w:t>
      </w:r>
      <w:r w:rsidRPr="00780D2B">
        <w:rPr>
          <w:rFonts w:ascii="Arial" w:eastAsia="Arial" w:hAnsi="Arial" w:cs="Arial"/>
          <w:i/>
          <w:iCs/>
          <w:sz w:val="24"/>
          <w:szCs w:val="24"/>
        </w:rPr>
        <w:t>et al.</w:t>
      </w:r>
      <w:r w:rsidRPr="00780D2B">
        <w:rPr>
          <w:rFonts w:ascii="Arial" w:eastAsia="Arial" w:hAnsi="Arial" w:cs="Arial"/>
          <w:sz w:val="24"/>
          <w:szCs w:val="24"/>
        </w:rPr>
        <w:t>, 2023).</w:t>
      </w:r>
    </w:p>
    <w:p w14:paraId="6B57AAFF" w14:textId="77777777" w:rsidR="007D17B2" w:rsidRPr="00780D2B" w:rsidRDefault="00000000">
      <w:pPr>
        <w:spacing w:before="240" w:after="0" w:line="480" w:lineRule="auto"/>
        <w:jc w:val="both"/>
        <w:rPr>
          <w:rFonts w:ascii="Arial" w:eastAsia="Arial" w:hAnsi="Arial" w:cs="Arial"/>
          <w:sz w:val="24"/>
          <w:szCs w:val="24"/>
        </w:rPr>
      </w:pPr>
      <w:r w:rsidRPr="00780D2B">
        <w:rPr>
          <w:rFonts w:ascii="Arial" w:eastAsia="Arial" w:hAnsi="Arial" w:cs="Arial"/>
          <w:sz w:val="24"/>
          <w:szCs w:val="24"/>
        </w:rPr>
        <w:t xml:space="preserve">The preliminary dynamic characterization presented here lays the foundation for future improvements. Additional sensors deployed with a denser or differently configured spatial configuration could improve the mode identification, enhancing sensitivity to torsional and out-of-plane motion components (e.g. Rahmani and </w:t>
      </w:r>
      <w:proofErr w:type="spellStart"/>
      <w:r w:rsidRPr="00780D2B">
        <w:rPr>
          <w:rFonts w:ascii="Arial" w:eastAsia="Arial" w:hAnsi="Arial" w:cs="Arial"/>
          <w:sz w:val="24"/>
          <w:szCs w:val="24"/>
        </w:rPr>
        <w:t>Todorovska</w:t>
      </w:r>
      <w:proofErr w:type="spellEnd"/>
      <w:r w:rsidRPr="00780D2B">
        <w:rPr>
          <w:rFonts w:ascii="Arial" w:eastAsia="Arial" w:hAnsi="Arial" w:cs="Arial"/>
          <w:sz w:val="24"/>
          <w:szCs w:val="24"/>
        </w:rPr>
        <w:t>, 2013). Dedicated geophysical surveys are currently in the planning phase to refine the shallow velocity profile, which will support more accurate modeling of site and SSI effects. These developments will enable more detailed numerical simulations, including fully coupled structure-soil models.</w:t>
      </w:r>
    </w:p>
    <w:p w14:paraId="1D47F971" w14:textId="07537A40" w:rsidR="007D17B2" w:rsidRPr="00780D2B" w:rsidRDefault="00000000">
      <w:pPr>
        <w:spacing w:before="240" w:after="240" w:line="480" w:lineRule="auto"/>
        <w:jc w:val="both"/>
        <w:rPr>
          <w:rFonts w:ascii="Arial" w:eastAsia="Arial" w:hAnsi="Arial" w:cs="Arial"/>
          <w:sz w:val="24"/>
          <w:szCs w:val="24"/>
        </w:rPr>
      </w:pPr>
      <w:r w:rsidRPr="00780D2B">
        <w:rPr>
          <w:rFonts w:ascii="Arial" w:eastAsia="Arial" w:hAnsi="Arial" w:cs="Arial"/>
          <w:sz w:val="24"/>
          <w:szCs w:val="24"/>
        </w:rPr>
        <w:t xml:space="preserve">The authors hope that the Terza Torre </w:t>
      </w:r>
      <w:r w:rsidR="002A55C2" w:rsidRPr="00780D2B">
        <w:rPr>
          <w:rFonts w:ascii="Arial" w:eastAsia="Arial" w:hAnsi="Arial" w:cs="Arial"/>
          <w:sz w:val="24"/>
          <w:szCs w:val="24"/>
        </w:rPr>
        <w:t>infrastructure</w:t>
      </w:r>
      <w:r w:rsidR="00780591" w:rsidRPr="00780D2B">
        <w:rPr>
          <w:rFonts w:ascii="Arial" w:eastAsia="Arial" w:hAnsi="Arial" w:cs="Arial"/>
          <w:sz w:val="24"/>
          <w:szCs w:val="24"/>
        </w:rPr>
        <w:t xml:space="preserve"> and the associated dataset</w:t>
      </w:r>
      <w:r w:rsidR="002A55C2" w:rsidRPr="00780D2B">
        <w:rPr>
          <w:rFonts w:ascii="Arial" w:eastAsia="Arial" w:hAnsi="Arial" w:cs="Arial"/>
          <w:sz w:val="24"/>
          <w:szCs w:val="24"/>
        </w:rPr>
        <w:t xml:space="preserve"> </w:t>
      </w:r>
      <w:r w:rsidRPr="00780D2B">
        <w:rPr>
          <w:rFonts w:ascii="Arial" w:eastAsia="Arial" w:hAnsi="Arial" w:cs="Arial"/>
          <w:sz w:val="24"/>
          <w:szCs w:val="24"/>
        </w:rPr>
        <w:t xml:space="preserve">will serve the engineering seismology and earthquake engineering communities as a reference for validating </w:t>
      </w:r>
      <w:r w:rsidR="00780591" w:rsidRPr="00780D2B">
        <w:rPr>
          <w:rFonts w:ascii="Arial" w:eastAsia="Arial" w:hAnsi="Arial" w:cs="Arial"/>
          <w:sz w:val="24"/>
          <w:szCs w:val="24"/>
        </w:rPr>
        <w:t xml:space="preserve">numerical </w:t>
      </w:r>
      <w:r w:rsidRPr="00780D2B">
        <w:rPr>
          <w:rFonts w:ascii="Arial" w:eastAsia="Arial" w:hAnsi="Arial" w:cs="Arial"/>
          <w:sz w:val="24"/>
          <w:szCs w:val="24"/>
        </w:rPr>
        <w:t>models</w:t>
      </w:r>
      <w:r w:rsidR="00780591" w:rsidRPr="00780D2B">
        <w:rPr>
          <w:rFonts w:ascii="Arial" w:eastAsia="Arial" w:hAnsi="Arial" w:cs="Arial"/>
          <w:sz w:val="24"/>
          <w:szCs w:val="24"/>
        </w:rPr>
        <w:t xml:space="preserve"> of the building and of SSI effects</w:t>
      </w:r>
      <w:r w:rsidRPr="00780D2B">
        <w:rPr>
          <w:rFonts w:ascii="Arial" w:eastAsia="Arial" w:hAnsi="Arial" w:cs="Arial"/>
          <w:sz w:val="24"/>
          <w:szCs w:val="24"/>
        </w:rPr>
        <w:t>, evaluating seismic design assumptions, and fostering collaborative research in the field of structural monitoring and site response analysis.</w:t>
      </w:r>
    </w:p>
    <w:p w14:paraId="6D3920D1" w14:textId="77777777" w:rsidR="007D17B2" w:rsidRPr="00780D2B" w:rsidRDefault="00000000">
      <w:pPr>
        <w:pStyle w:val="Titolo1"/>
        <w:spacing w:line="480" w:lineRule="auto"/>
        <w:rPr>
          <w:rFonts w:ascii="Arial" w:eastAsia="Arial" w:hAnsi="Arial" w:cs="Arial"/>
        </w:rPr>
      </w:pPr>
      <w:bookmarkStart w:id="19" w:name="_heading=h.v1mxwtr52cvk" w:colFirst="0" w:colLast="0"/>
      <w:bookmarkEnd w:id="19"/>
      <w:r w:rsidRPr="00780D2B">
        <w:rPr>
          <w:rFonts w:ascii="Arial" w:eastAsia="Arial" w:hAnsi="Arial" w:cs="Arial"/>
        </w:rPr>
        <w:t>Data and Resources</w:t>
      </w:r>
    </w:p>
    <w:p w14:paraId="43ACD7AE" w14:textId="6015F168" w:rsidR="007D17B2" w:rsidRPr="002B001D" w:rsidRDefault="00000000">
      <w:pPr>
        <w:spacing w:before="240" w:after="240" w:line="480" w:lineRule="auto"/>
        <w:jc w:val="both"/>
        <w:rPr>
          <w:rFonts w:ascii="Arial" w:eastAsia="Arial" w:hAnsi="Arial" w:cs="Arial"/>
          <w:sz w:val="24"/>
          <w:szCs w:val="24"/>
        </w:rPr>
      </w:pPr>
      <w:r w:rsidRPr="00780D2B">
        <w:rPr>
          <w:rFonts w:ascii="Arial" w:eastAsia="Arial" w:hAnsi="Arial" w:cs="Arial"/>
          <w:sz w:val="24"/>
          <w:szCs w:val="24"/>
        </w:rPr>
        <w:t xml:space="preserve">Figures were made with Matplotlib version 3.8.4 (Hunter, 2007; The Matplotlib Development Team, 2024), available under the Matplotlib license at </w:t>
      </w:r>
      <w:hyperlink r:id="rId23">
        <w:r w:rsidR="007D17B2" w:rsidRPr="00780D2B">
          <w:rPr>
            <w:rFonts w:ascii="Arial" w:eastAsia="Arial" w:hAnsi="Arial" w:cs="Arial"/>
            <w:color w:val="1155CC"/>
            <w:sz w:val="24"/>
            <w:szCs w:val="24"/>
            <w:u w:val="single"/>
          </w:rPr>
          <w:t>https://matplotlib.org/</w:t>
        </w:r>
      </w:hyperlink>
      <w:r w:rsidRPr="00780D2B">
        <w:rPr>
          <w:rFonts w:ascii="Arial" w:eastAsia="Arial" w:hAnsi="Arial" w:cs="Arial"/>
          <w:sz w:val="24"/>
          <w:szCs w:val="24"/>
        </w:rPr>
        <w:t xml:space="preserve">, with </w:t>
      </w:r>
      <w:proofErr w:type="spellStart"/>
      <w:r w:rsidRPr="00780D2B">
        <w:rPr>
          <w:rFonts w:ascii="Arial" w:eastAsia="Arial" w:hAnsi="Arial" w:cs="Arial"/>
          <w:sz w:val="24"/>
          <w:szCs w:val="24"/>
        </w:rPr>
        <w:t>Cartopy</w:t>
      </w:r>
      <w:proofErr w:type="spellEnd"/>
      <w:r w:rsidRPr="00780D2B">
        <w:rPr>
          <w:rFonts w:ascii="Arial" w:eastAsia="Arial" w:hAnsi="Arial" w:cs="Arial"/>
          <w:sz w:val="24"/>
          <w:szCs w:val="24"/>
        </w:rPr>
        <w:t xml:space="preserve"> version 0.24.1 (Met Office, 2024), available under the </w:t>
      </w:r>
      <w:r w:rsidRPr="00780D2B">
        <w:rPr>
          <w:rFonts w:ascii="Arial" w:eastAsia="Arial" w:hAnsi="Arial" w:cs="Arial"/>
          <w:color w:val="1F2328"/>
          <w:sz w:val="24"/>
          <w:szCs w:val="24"/>
        </w:rPr>
        <w:t>3-Clause BSD license</w:t>
      </w:r>
      <w:r w:rsidRPr="00780D2B">
        <w:rPr>
          <w:rFonts w:ascii="Arial" w:eastAsia="Arial" w:hAnsi="Arial" w:cs="Arial"/>
          <w:sz w:val="24"/>
          <w:szCs w:val="24"/>
        </w:rPr>
        <w:t xml:space="preserve"> at </w:t>
      </w:r>
      <w:hyperlink r:id="rId24">
        <w:r w:rsidR="007D17B2" w:rsidRPr="00780D2B">
          <w:rPr>
            <w:rFonts w:ascii="Arial" w:eastAsia="Arial" w:hAnsi="Arial" w:cs="Arial"/>
            <w:color w:val="1155CC"/>
            <w:sz w:val="24"/>
            <w:szCs w:val="24"/>
            <w:u w:val="single"/>
          </w:rPr>
          <w:t>https://scitools.org.uk/cartopy</w:t>
        </w:r>
      </w:hyperlink>
      <w:r w:rsidRPr="00780D2B">
        <w:rPr>
          <w:rFonts w:ascii="Arial" w:eastAsia="Arial" w:hAnsi="Arial" w:cs="Arial"/>
          <w:sz w:val="24"/>
          <w:szCs w:val="24"/>
        </w:rPr>
        <w:t>, and with MATLAB version 23.2.0.2365128 (R2023b) (</w:t>
      </w:r>
      <w:hyperlink r:id="rId25">
        <w:r w:rsidR="007D17B2" w:rsidRPr="00780D2B">
          <w:rPr>
            <w:rFonts w:ascii="Arial" w:eastAsia="Arial" w:hAnsi="Arial" w:cs="Arial"/>
            <w:color w:val="1155CC"/>
            <w:sz w:val="24"/>
            <w:szCs w:val="24"/>
            <w:u w:val="single"/>
          </w:rPr>
          <w:t>https://www.mathworks.com</w:t>
        </w:r>
      </w:hyperlink>
      <w:r w:rsidRPr="00780D2B">
        <w:rPr>
          <w:rFonts w:ascii="Arial" w:eastAsia="Arial" w:hAnsi="Arial" w:cs="Arial"/>
          <w:sz w:val="24"/>
          <w:szCs w:val="24"/>
        </w:rPr>
        <w:t xml:space="preserve">). Data was collected using the </w:t>
      </w:r>
      <w:proofErr w:type="spellStart"/>
      <w:r w:rsidRPr="00780D2B">
        <w:rPr>
          <w:rFonts w:ascii="Arial" w:eastAsia="Arial" w:hAnsi="Arial" w:cs="Arial"/>
          <w:sz w:val="24"/>
          <w:szCs w:val="24"/>
        </w:rPr>
        <w:t>SeisComP</w:t>
      </w:r>
      <w:proofErr w:type="spellEnd"/>
      <w:r w:rsidRPr="00780D2B">
        <w:rPr>
          <w:rFonts w:ascii="Arial" w:eastAsia="Arial" w:hAnsi="Arial" w:cs="Arial"/>
          <w:sz w:val="24"/>
          <w:szCs w:val="24"/>
        </w:rPr>
        <w:t xml:space="preserve"> seismological software (GFZ and GEMPA GmbH, 2008). Software packages </w:t>
      </w:r>
      <w:r w:rsidRPr="00780D2B">
        <w:rPr>
          <w:rFonts w:ascii="Arial" w:eastAsia="Arial" w:hAnsi="Arial" w:cs="Arial"/>
          <w:sz w:val="24"/>
          <w:szCs w:val="24"/>
        </w:rPr>
        <w:lastRenderedPageBreak/>
        <w:t xml:space="preserve">from </w:t>
      </w:r>
      <w:proofErr w:type="spellStart"/>
      <w:r w:rsidRPr="00780D2B">
        <w:rPr>
          <w:rFonts w:ascii="Arial" w:eastAsia="Arial" w:hAnsi="Arial" w:cs="Arial"/>
          <w:sz w:val="24"/>
          <w:szCs w:val="24"/>
        </w:rPr>
        <w:t>ObsPy</w:t>
      </w:r>
      <w:proofErr w:type="spellEnd"/>
      <w:r w:rsidRPr="00780D2B">
        <w:rPr>
          <w:rFonts w:ascii="Arial" w:eastAsia="Arial" w:hAnsi="Arial" w:cs="Arial"/>
          <w:sz w:val="24"/>
          <w:szCs w:val="24"/>
        </w:rPr>
        <w:t xml:space="preserve"> (</w:t>
      </w:r>
      <w:proofErr w:type="spellStart"/>
      <w:r w:rsidRPr="00780D2B">
        <w:rPr>
          <w:rFonts w:ascii="Arial" w:eastAsia="Arial" w:hAnsi="Arial" w:cs="Arial"/>
          <w:sz w:val="24"/>
          <w:szCs w:val="24"/>
        </w:rPr>
        <w:t>Beyreuther</w:t>
      </w:r>
      <w:proofErr w:type="spellEnd"/>
      <w:r w:rsidRPr="00780D2B">
        <w:rPr>
          <w:rFonts w:ascii="Arial" w:eastAsia="Arial" w:hAnsi="Arial" w:cs="Arial"/>
          <w:sz w:val="24"/>
          <w:szCs w:val="24"/>
        </w:rPr>
        <w:t xml:space="preserve"> </w:t>
      </w:r>
      <w:r w:rsidRPr="00780D2B">
        <w:rPr>
          <w:rFonts w:ascii="Arial" w:eastAsia="Arial" w:hAnsi="Arial" w:cs="Arial"/>
          <w:i/>
          <w:iCs/>
          <w:sz w:val="24"/>
          <w:szCs w:val="24"/>
        </w:rPr>
        <w:t>et al.</w:t>
      </w:r>
      <w:r w:rsidRPr="00780D2B">
        <w:rPr>
          <w:rFonts w:ascii="Arial" w:eastAsia="Arial" w:hAnsi="Arial" w:cs="Arial"/>
          <w:sz w:val="24"/>
          <w:szCs w:val="24"/>
        </w:rPr>
        <w:t>, 2010) were used for data analysis. Moreover, data processing and analysis were performed using custom MATLAB code developed by the authors. The earthquake solutions were retrieved from the INGV national seismic catalog, the Italian Seismological Instrumental and Parametric Database (ISIDe;</w:t>
      </w:r>
      <w:hyperlink r:id="rId26">
        <w:r w:rsidR="007D17B2" w:rsidRPr="00780D2B">
          <w:rPr>
            <w:rFonts w:ascii="Arial" w:eastAsia="Arial" w:hAnsi="Arial" w:cs="Arial"/>
            <w:sz w:val="24"/>
            <w:szCs w:val="24"/>
          </w:rPr>
          <w:t xml:space="preserve"> </w:t>
        </w:r>
      </w:hyperlink>
      <w:hyperlink r:id="rId27">
        <w:r w:rsidR="007D17B2" w:rsidRPr="00780D2B">
          <w:rPr>
            <w:rFonts w:ascii="Arial" w:eastAsia="Arial" w:hAnsi="Arial" w:cs="Arial"/>
            <w:color w:val="1155CC"/>
            <w:sz w:val="24"/>
            <w:szCs w:val="24"/>
            <w:u w:val="single"/>
          </w:rPr>
          <w:t>https://terremoti.ingv.it/</w:t>
        </w:r>
      </w:hyperlink>
      <w:r w:rsidRPr="00780D2B">
        <w:rPr>
          <w:rFonts w:ascii="Arial" w:eastAsia="Arial" w:hAnsi="Arial" w:cs="Arial"/>
          <w:sz w:val="24"/>
          <w:szCs w:val="24"/>
        </w:rPr>
        <w:t>,</w:t>
      </w:r>
      <w:hyperlink r:id="rId28">
        <w:r w:rsidR="007D17B2" w:rsidRPr="00780D2B">
          <w:rPr>
            <w:rFonts w:ascii="Arial" w:eastAsia="Arial" w:hAnsi="Arial" w:cs="Arial"/>
            <w:sz w:val="24"/>
            <w:szCs w:val="24"/>
          </w:rPr>
          <w:t xml:space="preserve"> </w:t>
        </w:r>
      </w:hyperlink>
      <w:hyperlink r:id="rId29">
        <w:r w:rsidR="007D17B2" w:rsidRPr="00780D2B">
          <w:rPr>
            <w:rFonts w:ascii="Arial" w:eastAsia="Arial" w:hAnsi="Arial" w:cs="Arial"/>
            <w:color w:val="1155CC"/>
            <w:sz w:val="24"/>
            <w:szCs w:val="24"/>
            <w:u w:val="single"/>
          </w:rPr>
          <w:t>https://webservices.ingv.it/fdsnws/event/1</w:t>
        </w:r>
      </w:hyperlink>
      <w:r w:rsidRPr="00780D2B">
        <w:rPr>
          <w:rFonts w:ascii="Arial" w:eastAsia="Arial" w:hAnsi="Arial" w:cs="Arial"/>
          <w:sz w:val="24"/>
          <w:szCs w:val="24"/>
        </w:rPr>
        <w:t>; ISIDe Working Group, 2007). All websites were last accessed in April 2025. The L1 temporary network has not been officially registered with the International Federation of Digital Seismograph Networks (FDSN,</w:t>
      </w:r>
      <w:hyperlink r:id="rId30">
        <w:r w:rsidR="007D17B2" w:rsidRPr="00780D2B">
          <w:rPr>
            <w:rFonts w:ascii="Arial" w:eastAsia="Arial" w:hAnsi="Arial" w:cs="Arial"/>
            <w:sz w:val="24"/>
            <w:szCs w:val="24"/>
          </w:rPr>
          <w:t xml:space="preserve"> </w:t>
        </w:r>
      </w:hyperlink>
      <w:hyperlink r:id="rId31">
        <w:r w:rsidR="007D17B2" w:rsidRPr="00780D2B">
          <w:rPr>
            <w:rFonts w:ascii="Arial" w:eastAsia="Arial" w:hAnsi="Arial" w:cs="Arial"/>
            <w:color w:val="1155CC"/>
            <w:sz w:val="24"/>
            <w:szCs w:val="24"/>
            <w:u w:val="single"/>
          </w:rPr>
          <w:t>https://www.fdsn.org/</w:t>
        </w:r>
      </w:hyperlink>
      <w:r w:rsidRPr="00780D2B">
        <w:rPr>
          <w:rFonts w:ascii="Arial" w:eastAsia="Arial" w:hAnsi="Arial" w:cs="Arial"/>
          <w:sz w:val="24"/>
          <w:szCs w:val="24"/>
        </w:rPr>
        <w:t>), while the permanent borehole station RERI was registered as part of the OX network (</w:t>
      </w:r>
      <w:hyperlink r:id="rId32">
        <w:r w:rsidR="007D17B2" w:rsidRPr="00780D2B">
          <w:rPr>
            <w:rFonts w:ascii="Arial" w:eastAsia="Arial" w:hAnsi="Arial" w:cs="Arial"/>
            <w:sz w:val="24"/>
            <w:szCs w:val="24"/>
          </w:rPr>
          <w:t>Istituto Nazionale di Oceanografia e di Geofisica Sperimentale - OGS, 2016</w:t>
        </w:r>
      </w:hyperlink>
      <w:r w:rsidRPr="00780D2B">
        <w:rPr>
          <w:rFonts w:ascii="Arial" w:eastAsia="Arial" w:hAnsi="Arial" w:cs="Arial"/>
          <w:sz w:val="24"/>
          <w:szCs w:val="24"/>
        </w:rPr>
        <w:t xml:space="preserve">; </w:t>
      </w:r>
      <w:hyperlink r:id="rId33">
        <w:r w:rsidR="007D17B2" w:rsidRPr="00780D2B">
          <w:rPr>
            <w:rFonts w:ascii="Arial" w:eastAsia="Arial" w:hAnsi="Arial" w:cs="Arial"/>
            <w:color w:val="1155CC"/>
            <w:sz w:val="24"/>
            <w:szCs w:val="24"/>
            <w:u w:val="single"/>
          </w:rPr>
          <w:t>https://doi.org/10.7914/SN/OX</w:t>
        </w:r>
      </w:hyperlink>
      <w:r w:rsidRPr="00780D2B">
        <w:rPr>
          <w:rFonts w:ascii="Arial" w:eastAsia="Arial" w:hAnsi="Arial" w:cs="Arial"/>
          <w:sz w:val="24"/>
          <w:szCs w:val="24"/>
        </w:rPr>
        <w:t xml:space="preserve">). The dataset for this monitoring experiment is provided in Cataldi </w:t>
      </w:r>
      <w:r w:rsidRPr="00780D2B">
        <w:rPr>
          <w:rFonts w:ascii="Arial" w:eastAsia="Arial" w:hAnsi="Arial" w:cs="Arial"/>
          <w:i/>
          <w:iCs/>
          <w:sz w:val="24"/>
          <w:szCs w:val="24"/>
        </w:rPr>
        <w:t>et al.</w:t>
      </w:r>
      <w:r w:rsidRPr="00780D2B">
        <w:rPr>
          <w:rFonts w:ascii="Arial" w:eastAsia="Arial" w:hAnsi="Arial" w:cs="Arial"/>
          <w:sz w:val="24"/>
          <w:szCs w:val="24"/>
        </w:rPr>
        <w:t xml:space="preserve"> (2025) and includes all seismic data recorded by the monitoring network (both L1 and OX.RERI) for the events reported in Table 2, both as raw </w:t>
      </w:r>
      <w:proofErr w:type="spellStart"/>
      <w:r w:rsidRPr="00780D2B">
        <w:rPr>
          <w:rFonts w:ascii="Arial" w:eastAsia="Arial" w:hAnsi="Arial" w:cs="Arial"/>
          <w:i/>
          <w:iCs/>
          <w:sz w:val="24"/>
          <w:szCs w:val="24"/>
        </w:rPr>
        <w:t>miniSEED</w:t>
      </w:r>
      <w:proofErr w:type="spellEnd"/>
      <w:r w:rsidRPr="00780D2B">
        <w:rPr>
          <w:rFonts w:ascii="Arial" w:eastAsia="Arial" w:hAnsi="Arial" w:cs="Arial"/>
          <w:i/>
          <w:iCs/>
          <w:sz w:val="24"/>
          <w:szCs w:val="24"/>
        </w:rPr>
        <w:t xml:space="preserve"> </w:t>
      </w:r>
      <w:r w:rsidRPr="00780D2B">
        <w:rPr>
          <w:rFonts w:ascii="Arial" w:eastAsia="Arial" w:hAnsi="Arial" w:cs="Arial"/>
          <w:sz w:val="24"/>
          <w:szCs w:val="24"/>
        </w:rPr>
        <w:t xml:space="preserve">data (with the associated xml metadata) and as corrected </w:t>
      </w:r>
      <w:proofErr w:type="spellStart"/>
      <w:r w:rsidRPr="00780D2B">
        <w:rPr>
          <w:rFonts w:ascii="Arial" w:eastAsia="Arial" w:hAnsi="Arial" w:cs="Arial"/>
          <w:i/>
          <w:iCs/>
          <w:sz w:val="24"/>
          <w:szCs w:val="24"/>
        </w:rPr>
        <w:t>miniSEED</w:t>
      </w:r>
      <w:proofErr w:type="spellEnd"/>
      <w:r w:rsidRPr="00780D2B">
        <w:rPr>
          <w:rFonts w:ascii="Arial" w:eastAsia="Arial" w:hAnsi="Arial" w:cs="Arial"/>
          <w:i/>
          <w:iCs/>
          <w:sz w:val="24"/>
          <w:szCs w:val="24"/>
        </w:rPr>
        <w:t xml:space="preserve"> </w:t>
      </w:r>
      <w:r w:rsidRPr="00780D2B">
        <w:rPr>
          <w:rFonts w:ascii="Arial" w:eastAsia="Arial" w:hAnsi="Arial" w:cs="Arial"/>
          <w:sz w:val="24"/>
          <w:szCs w:val="24"/>
        </w:rPr>
        <w:t xml:space="preserve">data. All waveforms in this dataset are cut starting at 30 s before the theoretical P-wave arrival and ending 80 s after. The only exception is that of the waveforms associated with the event ID 10 in Table 2; since the event occurred too close to the previous one (ID 9), no pre-event noise window was available and the 30 s of pre-event data were padded to zero. In addition to event recordings, the dataset includes three day-long recordings, to provide an example of pre-event noise (2023-09-18 and 2023-10-28) and of background noise (2025-01-01), again both as raw and as corrected </w:t>
      </w:r>
      <w:proofErr w:type="spellStart"/>
      <w:r w:rsidRPr="00780D2B">
        <w:rPr>
          <w:rFonts w:ascii="Arial" w:eastAsia="Arial" w:hAnsi="Arial" w:cs="Arial"/>
          <w:i/>
          <w:iCs/>
          <w:sz w:val="24"/>
          <w:szCs w:val="24"/>
        </w:rPr>
        <w:t>miniSEED</w:t>
      </w:r>
      <w:proofErr w:type="spellEnd"/>
      <w:r w:rsidRPr="00780D2B">
        <w:rPr>
          <w:rFonts w:ascii="Arial" w:eastAsia="Arial" w:hAnsi="Arial" w:cs="Arial"/>
          <w:i/>
          <w:iCs/>
          <w:sz w:val="24"/>
          <w:szCs w:val="24"/>
        </w:rPr>
        <w:t xml:space="preserve"> </w:t>
      </w:r>
      <w:r w:rsidRPr="00780D2B">
        <w:rPr>
          <w:rFonts w:ascii="Arial" w:eastAsia="Arial" w:hAnsi="Arial" w:cs="Arial"/>
          <w:sz w:val="24"/>
          <w:szCs w:val="24"/>
        </w:rPr>
        <w:t xml:space="preserve">data. The corrected data is obtained from the raw data through baseline correction, instrument response removal, tapering and filtering in the 0.3 - 30 Hz range; the code used for the correction is also provided in Cataldi </w:t>
      </w:r>
      <w:r w:rsidRPr="00780D2B">
        <w:rPr>
          <w:rFonts w:ascii="Arial" w:eastAsia="Arial" w:hAnsi="Arial" w:cs="Arial"/>
          <w:i/>
          <w:iCs/>
          <w:sz w:val="24"/>
          <w:szCs w:val="24"/>
        </w:rPr>
        <w:t>et al.</w:t>
      </w:r>
      <w:r w:rsidRPr="00780D2B">
        <w:rPr>
          <w:rFonts w:ascii="Arial" w:eastAsia="Arial" w:hAnsi="Arial" w:cs="Arial"/>
          <w:sz w:val="24"/>
          <w:szCs w:val="24"/>
        </w:rPr>
        <w:t xml:space="preserve"> (2025). We provide both raw and </w:t>
      </w:r>
      <w:r w:rsidRPr="00780D2B">
        <w:rPr>
          <w:rFonts w:ascii="Arial" w:eastAsia="Arial" w:hAnsi="Arial" w:cs="Arial"/>
          <w:sz w:val="24"/>
          <w:szCs w:val="24"/>
        </w:rPr>
        <w:lastRenderedPageBreak/>
        <w:t xml:space="preserve">corrected waveforms to suit both seismology and engineering communities and to support multiple analysis purposes. The dataset is released with an embargo period of two years from the article publication. Additional recordings, such as continuous ambient noise measurements for specific time periods, can be provided upon </w:t>
      </w:r>
      <w:r w:rsidRPr="002B001D">
        <w:rPr>
          <w:rFonts w:ascii="Arial" w:eastAsia="Arial" w:hAnsi="Arial" w:cs="Arial"/>
          <w:sz w:val="24"/>
          <w:szCs w:val="24"/>
        </w:rPr>
        <w:t>request.</w:t>
      </w:r>
      <w:r w:rsidR="000323AB" w:rsidRPr="002B001D">
        <w:rPr>
          <w:rFonts w:ascii="Arial" w:eastAsia="Arial" w:hAnsi="Arial" w:cs="Arial"/>
          <w:sz w:val="24"/>
          <w:szCs w:val="24"/>
        </w:rPr>
        <w:t xml:space="preserve"> Supplemental Material for this article includes</w:t>
      </w:r>
      <w:r w:rsidRPr="002B001D">
        <w:rPr>
          <w:rFonts w:ascii="Arial" w:eastAsia="Arial" w:hAnsi="Arial" w:cs="Arial"/>
          <w:sz w:val="24"/>
          <w:szCs w:val="24"/>
        </w:rPr>
        <w:t xml:space="preserve"> </w:t>
      </w:r>
      <w:r w:rsidR="000323AB" w:rsidRPr="002B001D">
        <w:rPr>
          <w:rFonts w:ascii="Arial" w:eastAsia="Arial" w:hAnsi="Arial" w:cs="Arial"/>
          <w:sz w:val="24"/>
          <w:szCs w:val="24"/>
        </w:rPr>
        <w:t>a</w:t>
      </w:r>
      <w:r w:rsidRPr="002B001D">
        <w:rPr>
          <w:rFonts w:ascii="Arial" w:eastAsia="Arial" w:hAnsi="Arial" w:cs="Arial"/>
          <w:sz w:val="24"/>
          <w:szCs w:val="24"/>
        </w:rPr>
        <w:t>dditional figures regarding noise levels, data availability, and SNR scores.</w:t>
      </w:r>
    </w:p>
    <w:p w14:paraId="58DAFB76" w14:textId="77777777" w:rsidR="007D17B2" w:rsidRPr="002B001D" w:rsidRDefault="00000000">
      <w:pPr>
        <w:pStyle w:val="Titolo1"/>
        <w:spacing w:line="480" w:lineRule="auto"/>
        <w:rPr>
          <w:rFonts w:ascii="Arial" w:eastAsia="Arial" w:hAnsi="Arial" w:cs="Arial"/>
        </w:rPr>
      </w:pPr>
      <w:bookmarkStart w:id="20" w:name="_heading=h.jjql39b32a2y" w:colFirst="0" w:colLast="0"/>
      <w:bookmarkEnd w:id="20"/>
      <w:r w:rsidRPr="002B001D">
        <w:rPr>
          <w:rFonts w:ascii="Arial" w:eastAsia="Arial" w:hAnsi="Arial" w:cs="Arial"/>
        </w:rPr>
        <w:t>Acknowledgements</w:t>
      </w:r>
    </w:p>
    <w:p w14:paraId="63EDC21F" w14:textId="5D8543D7" w:rsidR="007D17B2" w:rsidRPr="00780D2B" w:rsidRDefault="00000000">
      <w:pPr>
        <w:spacing w:before="240" w:after="240" w:line="480" w:lineRule="auto"/>
        <w:jc w:val="both"/>
        <w:rPr>
          <w:rFonts w:ascii="Arial" w:eastAsia="Arial" w:hAnsi="Arial" w:cs="Arial"/>
          <w:sz w:val="24"/>
          <w:szCs w:val="24"/>
        </w:rPr>
      </w:pPr>
      <w:r w:rsidRPr="002B001D">
        <w:rPr>
          <w:rFonts w:ascii="Arial" w:eastAsia="Arial" w:hAnsi="Arial" w:cs="Arial"/>
          <w:sz w:val="24"/>
          <w:szCs w:val="24"/>
        </w:rPr>
        <w:t>The authors acknowledge the Emilia-Romagna Regional Government, and the General Directorate for Environment and Territory in particular, for hosting the network and providing long-term support to the monitoring experiment.</w:t>
      </w:r>
      <w:r w:rsidR="000323AB" w:rsidRPr="002B001D">
        <w:rPr>
          <w:rFonts w:ascii="Arial" w:eastAsia="Arial" w:hAnsi="Arial" w:cs="Arial"/>
          <w:sz w:val="24"/>
          <w:szCs w:val="24"/>
        </w:rPr>
        <w:t xml:space="preserve"> We are grateful to the</w:t>
      </w:r>
      <w:r w:rsidR="008475AC" w:rsidRPr="002B001D">
        <w:rPr>
          <w:rFonts w:ascii="Arial" w:eastAsia="Arial" w:hAnsi="Arial" w:cs="Arial"/>
          <w:sz w:val="24"/>
          <w:szCs w:val="24"/>
        </w:rPr>
        <w:t xml:space="preserve"> SRL</w:t>
      </w:r>
      <w:r w:rsidR="000323AB" w:rsidRPr="002B001D">
        <w:rPr>
          <w:rFonts w:ascii="Arial" w:eastAsia="Arial" w:hAnsi="Arial" w:cs="Arial"/>
          <w:sz w:val="24"/>
          <w:szCs w:val="24"/>
        </w:rPr>
        <w:t xml:space="preserve"> Editor</w:t>
      </w:r>
      <w:r w:rsidR="008475AC" w:rsidRPr="002B001D">
        <w:rPr>
          <w:rFonts w:ascii="Arial" w:eastAsia="Arial" w:hAnsi="Arial" w:cs="Arial"/>
          <w:sz w:val="24"/>
          <w:szCs w:val="24"/>
        </w:rPr>
        <w:t xml:space="preserve">s </w:t>
      </w:r>
      <w:r w:rsidR="000323AB" w:rsidRPr="002B001D">
        <w:rPr>
          <w:rFonts w:ascii="Arial" w:eastAsia="Arial" w:hAnsi="Arial" w:cs="Arial"/>
          <w:sz w:val="24"/>
          <w:szCs w:val="24"/>
        </w:rPr>
        <w:t xml:space="preserve">and to two anonymous reviewers for their constructive comments and suggestions. </w:t>
      </w:r>
      <w:r w:rsidRPr="002B001D">
        <w:rPr>
          <w:rFonts w:ascii="Arial" w:eastAsia="Arial" w:hAnsi="Arial" w:cs="Arial"/>
          <w:sz w:val="24"/>
          <w:szCs w:val="24"/>
        </w:rPr>
        <w:t>We also wish to thank the colleagues at National Institute of Oceanography</w:t>
      </w:r>
      <w:r w:rsidRPr="00780D2B">
        <w:rPr>
          <w:rFonts w:ascii="Arial" w:eastAsia="Arial" w:hAnsi="Arial" w:cs="Arial"/>
          <w:sz w:val="24"/>
          <w:szCs w:val="24"/>
        </w:rPr>
        <w:t xml:space="preserve"> and Applied Geophysics – OGS (in particular Lavinia </w:t>
      </w:r>
      <w:proofErr w:type="spellStart"/>
      <w:r w:rsidRPr="00780D2B">
        <w:rPr>
          <w:rFonts w:ascii="Arial" w:eastAsia="Arial" w:hAnsi="Arial" w:cs="Arial"/>
          <w:sz w:val="24"/>
          <w:szCs w:val="24"/>
        </w:rPr>
        <w:t>Tunini</w:t>
      </w:r>
      <w:proofErr w:type="spellEnd"/>
      <w:r w:rsidRPr="00780D2B">
        <w:rPr>
          <w:rFonts w:ascii="Arial" w:eastAsia="Arial" w:hAnsi="Arial" w:cs="Arial"/>
          <w:sz w:val="24"/>
          <w:szCs w:val="24"/>
        </w:rPr>
        <w:t>, Michele Bertoni, Helga Siracusa) for help in the instrumental setup and data acquisition. Professor Stefano Parolai is currently at University of Trieste, Department of Mathematics, Informatics, and Geosciences, Trieste, Italy, while also maintaining his affiliation to OGS.</w:t>
      </w:r>
    </w:p>
    <w:p w14:paraId="333CFA73" w14:textId="77777777" w:rsidR="007D17B2" w:rsidRPr="00780D2B" w:rsidRDefault="00000000">
      <w:pPr>
        <w:pStyle w:val="Titolo1"/>
        <w:spacing w:line="480" w:lineRule="auto"/>
        <w:rPr>
          <w:rFonts w:ascii="Arial" w:eastAsia="Arial" w:hAnsi="Arial" w:cs="Arial"/>
        </w:rPr>
      </w:pPr>
      <w:bookmarkStart w:id="21" w:name="_heading=h.qsek5ckuq6bw" w:colFirst="0" w:colLast="0"/>
      <w:bookmarkEnd w:id="21"/>
      <w:r w:rsidRPr="00780D2B">
        <w:rPr>
          <w:rFonts w:ascii="Arial" w:eastAsia="Arial" w:hAnsi="Arial" w:cs="Arial"/>
        </w:rPr>
        <w:t>References</w:t>
      </w:r>
    </w:p>
    <w:p w14:paraId="4560E9CA" w14:textId="77777777" w:rsidR="007D17B2" w:rsidRPr="00780D2B" w:rsidRDefault="00000000">
      <w:pPr>
        <w:spacing w:after="120" w:line="480" w:lineRule="auto"/>
        <w:jc w:val="both"/>
        <w:rPr>
          <w:rFonts w:ascii="Arial" w:eastAsia="Arial" w:hAnsi="Arial" w:cs="Arial"/>
          <w:sz w:val="24"/>
          <w:szCs w:val="24"/>
        </w:rPr>
      </w:pPr>
      <w:r w:rsidRPr="00780D2B">
        <w:rPr>
          <w:rFonts w:ascii="Arial" w:eastAsia="Arial" w:hAnsi="Arial" w:cs="Arial"/>
          <w:sz w:val="24"/>
          <w:szCs w:val="24"/>
        </w:rPr>
        <w:t xml:space="preserve">Aki, K. (1993). Local site effects on weak and strong ground motion, </w:t>
      </w:r>
      <w:r w:rsidRPr="00780D2B">
        <w:rPr>
          <w:rFonts w:ascii="Arial" w:eastAsia="Arial" w:hAnsi="Arial" w:cs="Arial"/>
          <w:i/>
          <w:iCs/>
          <w:sz w:val="24"/>
          <w:szCs w:val="24"/>
        </w:rPr>
        <w:t>Tectonophysics</w:t>
      </w:r>
      <w:r w:rsidRPr="00780D2B">
        <w:rPr>
          <w:rFonts w:ascii="Arial" w:eastAsia="Arial" w:hAnsi="Arial" w:cs="Arial"/>
          <w:sz w:val="24"/>
          <w:szCs w:val="24"/>
        </w:rPr>
        <w:t xml:space="preserve"> </w:t>
      </w:r>
      <w:r w:rsidRPr="00780D2B">
        <w:rPr>
          <w:rFonts w:ascii="Arial" w:eastAsia="Arial" w:hAnsi="Arial" w:cs="Arial"/>
          <w:b/>
          <w:bCs/>
          <w:sz w:val="24"/>
          <w:szCs w:val="24"/>
        </w:rPr>
        <w:t>218</w:t>
      </w:r>
      <w:r w:rsidRPr="00780D2B">
        <w:rPr>
          <w:rFonts w:ascii="Arial" w:eastAsia="Arial" w:hAnsi="Arial" w:cs="Arial"/>
          <w:sz w:val="24"/>
          <w:szCs w:val="24"/>
        </w:rPr>
        <w:t xml:space="preserve">, no. 1–3, 93–111, </w:t>
      </w:r>
      <w:proofErr w:type="spellStart"/>
      <w:r w:rsidRPr="00780D2B">
        <w:rPr>
          <w:rFonts w:ascii="Arial" w:eastAsia="Arial" w:hAnsi="Arial" w:cs="Arial"/>
          <w:sz w:val="24"/>
          <w:szCs w:val="24"/>
        </w:rPr>
        <w:t>doi</w:t>
      </w:r>
      <w:proofErr w:type="spellEnd"/>
      <w:r w:rsidRPr="00780D2B">
        <w:rPr>
          <w:rFonts w:ascii="Arial" w:eastAsia="Arial" w:hAnsi="Arial" w:cs="Arial"/>
          <w:sz w:val="24"/>
          <w:szCs w:val="24"/>
        </w:rPr>
        <w:t>:</w:t>
      </w:r>
      <w:hyperlink r:id="rId34">
        <w:r w:rsidR="007D17B2" w:rsidRPr="00780D2B">
          <w:rPr>
            <w:rFonts w:ascii="Arial" w:eastAsia="Arial" w:hAnsi="Arial" w:cs="Arial"/>
            <w:sz w:val="24"/>
            <w:szCs w:val="24"/>
          </w:rPr>
          <w:t xml:space="preserve"> </w:t>
        </w:r>
      </w:hyperlink>
      <w:hyperlink r:id="rId35">
        <w:r w:rsidR="007D17B2" w:rsidRPr="00780D2B">
          <w:rPr>
            <w:rFonts w:ascii="Arial" w:eastAsia="Arial" w:hAnsi="Arial" w:cs="Arial"/>
            <w:color w:val="1155CC"/>
            <w:sz w:val="24"/>
            <w:szCs w:val="24"/>
            <w:u w:val="single"/>
          </w:rPr>
          <w:t>10.1016/0040-1951(93)90262-I</w:t>
        </w:r>
      </w:hyperlink>
      <w:r w:rsidRPr="00780D2B">
        <w:rPr>
          <w:rFonts w:ascii="Arial" w:eastAsia="Arial" w:hAnsi="Arial" w:cs="Arial"/>
          <w:sz w:val="24"/>
          <w:szCs w:val="24"/>
        </w:rPr>
        <w:t>.</w:t>
      </w:r>
    </w:p>
    <w:p w14:paraId="31F5C652" w14:textId="77777777" w:rsidR="007D17B2" w:rsidRPr="00780D2B" w:rsidRDefault="00000000">
      <w:pPr>
        <w:spacing w:before="240" w:after="120" w:line="480" w:lineRule="auto"/>
        <w:jc w:val="both"/>
        <w:rPr>
          <w:rFonts w:ascii="Arial" w:eastAsia="Arial" w:hAnsi="Arial" w:cs="Arial"/>
          <w:sz w:val="24"/>
          <w:szCs w:val="24"/>
        </w:rPr>
      </w:pPr>
      <w:r w:rsidRPr="00780D2B">
        <w:rPr>
          <w:rFonts w:ascii="Arial" w:eastAsia="Arial" w:hAnsi="Arial" w:cs="Arial"/>
          <w:sz w:val="24"/>
          <w:szCs w:val="24"/>
        </w:rPr>
        <w:t xml:space="preserve">Bard, P.-Y., J. L. </w:t>
      </w:r>
      <w:proofErr w:type="spellStart"/>
      <w:r w:rsidRPr="00780D2B">
        <w:rPr>
          <w:rFonts w:ascii="Arial" w:eastAsia="Arial" w:hAnsi="Arial" w:cs="Arial"/>
          <w:sz w:val="24"/>
          <w:szCs w:val="24"/>
        </w:rPr>
        <w:t>Chazelas</w:t>
      </w:r>
      <w:proofErr w:type="spellEnd"/>
      <w:r w:rsidRPr="00780D2B">
        <w:rPr>
          <w:rFonts w:ascii="Arial" w:eastAsia="Arial" w:hAnsi="Arial" w:cs="Arial"/>
          <w:sz w:val="24"/>
          <w:szCs w:val="24"/>
        </w:rPr>
        <w:t xml:space="preserve">, Ph. </w:t>
      </w:r>
      <w:proofErr w:type="spellStart"/>
      <w:r w:rsidRPr="00780D2B">
        <w:rPr>
          <w:rFonts w:ascii="Arial" w:eastAsia="Arial" w:hAnsi="Arial" w:cs="Arial"/>
          <w:sz w:val="24"/>
          <w:szCs w:val="24"/>
        </w:rPr>
        <w:t>Guéguen</w:t>
      </w:r>
      <w:proofErr w:type="spellEnd"/>
      <w:r w:rsidRPr="00780D2B">
        <w:rPr>
          <w:rFonts w:ascii="Arial" w:eastAsia="Arial" w:hAnsi="Arial" w:cs="Arial"/>
          <w:sz w:val="24"/>
          <w:szCs w:val="24"/>
        </w:rPr>
        <w:t xml:space="preserve">, M. Kham, and J. F. </w:t>
      </w:r>
      <w:proofErr w:type="spellStart"/>
      <w:r w:rsidRPr="00780D2B">
        <w:rPr>
          <w:rFonts w:ascii="Arial" w:eastAsia="Arial" w:hAnsi="Arial" w:cs="Arial"/>
          <w:sz w:val="24"/>
          <w:szCs w:val="24"/>
        </w:rPr>
        <w:t>Semblat</w:t>
      </w:r>
      <w:proofErr w:type="spellEnd"/>
      <w:r w:rsidRPr="00780D2B">
        <w:rPr>
          <w:rFonts w:ascii="Arial" w:eastAsia="Arial" w:hAnsi="Arial" w:cs="Arial"/>
          <w:sz w:val="24"/>
          <w:szCs w:val="24"/>
        </w:rPr>
        <w:t xml:space="preserve"> (2008). Site-City Interaction, in </w:t>
      </w:r>
      <w:r w:rsidRPr="00780D2B">
        <w:rPr>
          <w:rFonts w:ascii="Arial" w:eastAsia="Arial" w:hAnsi="Arial" w:cs="Arial"/>
          <w:i/>
          <w:iCs/>
          <w:sz w:val="24"/>
          <w:szCs w:val="24"/>
        </w:rPr>
        <w:t>Assessing and Managing Earthquake Risk</w:t>
      </w:r>
      <w:r w:rsidRPr="00780D2B">
        <w:rPr>
          <w:rFonts w:ascii="Arial" w:eastAsia="Arial" w:hAnsi="Arial" w:cs="Arial"/>
          <w:sz w:val="24"/>
          <w:szCs w:val="24"/>
        </w:rPr>
        <w:t xml:space="preserve"> C. S. Oliveira, A. Roca, and X. </w:t>
      </w:r>
      <w:r w:rsidRPr="00780D2B">
        <w:rPr>
          <w:rFonts w:ascii="Arial" w:eastAsia="Arial" w:hAnsi="Arial" w:cs="Arial"/>
          <w:sz w:val="24"/>
          <w:szCs w:val="24"/>
        </w:rPr>
        <w:lastRenderedPageBreak/>
        <w:t xml:space="preserve">Goula(Editors), Springer Netherlands, Dordrecht, Geotechnical, Geological And Earthquake Engineering, 91–114, </w:t>
      </w:r>
      <w:proofErr w:type="spellStart"/>
      <w:r w:rsidRPr="00780D2B">
        <w:rPr>
          <w:rFonts w:ascii="Arial" w:eastAsia="Arial" w:hAnsi="Arial" w:cs="Arial"/>
          <w:sz w:val="24"/>
          <w:szCs w:val="24"/>
        </w:rPr>
        <w:t>doi</w:t>
      </w:r>
      <w:proofErr w:type="spellEnd"/>
      <w:r w:rsidRPr="00780D2B">
        <w:rPr>
          <w:rFonts w:ascii="Arial" w:eastAsia="Arial" w:hAnsi="Arial" w:cs="Arial"/>
          <w:sz w:val="24"/>
          <w:szCs w:val="24"/>
        </w:rPr>
        <w:t>:</w:t>
      </w:r>
      <w:hyperlink r:id="rId36">
        <w:r w:rsidR="007D17B2" w:rsidRPr="00780D2B">
          <w:rPr>
            <w:rFonts w:ascii="Arial" w:eastAsia="Arial" w:hAnsi="Arial" w:cs="Arial"/>
            <w:sz w:val="24"/>
            <w:szCs w:val="24"/>
          </w:rPr>
          <w:t xml:space="preserve"> </w:t>
        </w:r>
      </w:hyperlink>
      <w:hyperlink r:id="rId37">
        <w:r w:rsidR="007D17B2" w:rsidRPr="00780D2B">
          <w:rPr>
            <w:rFonts w:ascii="Arial" w:eastAsia="Arial" w:hAnsi="Arial" w:cs="Arial"/>
            <w:color w:val="1155CC"/>
            <w:sz w:val="24"/>
            <w:szCs w:val="24"/>
            <w:u w:val="single"/>
          </w:rPr>
          <w:t>10.1007/978-1-4020-3608-8_5</w:t>
        </w:r>
      </w:hyperlink>
      <w:r w:rsidRPr="00780D2B">
        <w:rPr>
          <w:rFonts w:ascii="Arial" w:eastAsia="Arial" w:hAnsi="Arial" w:cs="Arial"/>
          <w:sz w:val="24"/>
          <w:szCs w:val="24"/>
        </w:rPr>
        <w:t>.</w:t>
      </w:r>
    </w:p>
    <w:p w14:paraId="3CC60CC2" w14:textId="77777777" w:rsidR="007D17B2" w:rsidRPr="00780D2B" w:rsidRDefault="00000000">
      <w:pPr>
        <w:spacing w:before="240" w:after="120" w:line="480" w:lineRule="auto"/>
        <w:jc w:val="both"/>
        <w:rPr>
          <w:rFonts w:ascii="Arial" w:eastAsia="Arial" w:hAnsi="Arial" w:cs="Arial"/>
          <w:sz w:val="24"/>
          <w:szCs w:val="24"/>
        </w:rPr>
      </w:pPr>
      <w:r w:rsidRPr="00780D2B">
        <w:rPr>
          <w:rFonts w:ascii="Arial" w:eastAsia="Arial" w:hAnsi="Arial" w:cs="Arial"/>
          <w:sz w:val="24"/>
          <w:szCs w:val="24"/>
        </w:rPr>
        <w:t xml:space="preserve">Bard, P.-Y., P. Gueguen, and A. Wirgin (1996). A note on the seismic wavefield radiated from large building structures into soft soils, in </w:t>
      </w:r>
      <w:r w:rsidRPr="00780D2B">
        <w:rPr>
          <w:rFonts w:ascii="Arial" w:eastAsia="Arial" w:hAnsi="Arial" w:cs="Arial"/>
          <w:i/>
          <w:iCs/>
          <w:sz w:val="24"/>
          <w:szCs w:val="24"/>
        </w:rPr>
        <w:t>Proceedings of the eleventh world conference on earthquake engineering, Acapulco, Mexico</w:t>
      </w:r>
      <w:r w:rsidRPr="00780D2B">
        <w:rPr>
          <w:rFonts w:ascii="Arial" w:eastAsia="Arial" w:hAnsi="Arial" w:cs="Arial"/>
          <w:sz w:val="24"/>
          <w:szCs w:val="24"/>
        </w:rPr>
        <w:t>.</w:t>
      </w:r>
    </w:p>
    <w:p w14:paraId="14E44792" w14:textId="77777777" w:rsidR="007D17B2" w:rsidRPr="00780D2B" w:rsidRDefault="00000000">
      <w:pPr>
        <w:spacing w:before="240" w:after="120" w:line="480" w:lineRule="auto"/>
        <w:jc w:val="both"/>
        <w:rPr>
          <w:rFonts w:ascii="Arial" w:eastAsia="Arial" w:hAnsi="Arial" w:cs="Arial"/>
          <w:sz w:val="24"/>
          <w:szCs w:val="24"/>
        </w:rPr>
      </w:pPr>
      <w:r w:rsidRPr="00780D2B">
        <w:rPr>
          <w:rFonts w:ascii="Arial" w:eastAsia="Arial" w:hAnsi="Arial" w:cs="Arial"/>
          <w:sz w:val="24"/>
          <w:szCs w:val="24"/>
          <w:lang w:val="de-DE"/>
        </w:rPr>
        <w:t xml:space="preserve">Beyreuther, M., R. Barsch, L. Krischer, T. </w:t>
      </w:r>
      <w:proofErr w:type="spellStart"/>
      <w:r w:rsidRPr="00780D2B">
        <w:rPr>
          <w:rFonts w:ascii="Arial" w:eastAsia="Arial" w:hAnsi="Arial" w:cs="Arial"/>
          <w:sz w:val="24"/>
          <w:szCs w:val="24"/>
          <w:lang w:val="de-DE"/>
        </w:rPr>
        <w:t>Megies</w:t>
      </w:r>
      <w:proofErr w:type="spellEnd"/>
      <w:r w:rsidRPr="00780D2B">
        <w:rPr>
          <w:rFonts w:ascii="Arial" w:eastAsia="Arial" w:hAnsi="Arial" w:cs="Arial"/>
          <w:sz w:val="24"/>
          <w:szCs w:val="24"/>
          <w:lang w:val="de-DE"/>
        </w:rPr>
        <w:t xml:space="preserve">, Y. Behr, and J. Wassermann (2010). </w:t>
      </w:r>
      <w:proofErr w:type="spellStart"/>
      <w:r w:rsidRPr="00780D2B">
        <w:rPr>
          <w:rFonts w:ascii="Arial" w:eastAsia="Arial" w:hAnsi="Arial" w:cs="Arial"/>
          <w:sz w:val="24"/>
          <w:szCs w:val="24"/>
        </w:rPr>
        <w:t>ObsPy</w:t>
      </w:r>
      <w:proofErr w:type="spellEnd"/>
      <w:r w:rsidRPr="00780D2B">
        <w:rPr>
          <w:rFonts w:ascii="Arial" w:eastAsia="Arial" w:hAnsi="Arial" w:cs="Arial"/>
          <w:sz w:val="24"/>
          <w:szCs w:val="24"/>
        </w:rPr>
        <w:t xml:space="preserve">: A Python Toolbox for Seismology, </w:t>
      </w:r>
      <w:r w:rsidRPr="00780D2B">
        <w:rPr>
          <w:rFonts w:ascii="Arial" w:eastAsia="Arial" w:hAnsi="Arial" w:cs="Arial"/>
          <w:i/>
          <w:iCs/>
          <w:sz w:val="24"/>
          <w:szCs w:val="24"/>
        </w:rPr>
        <w:t>Seismological Research Letters</w:t>
      </w:r>
      <w:r w:rsidRPr="00780D2B">
        <w:rPr>
          <w:rFonts w:ascii="Arial" w:eastAsia="Arial" w:hAnsi="Arial" w:cs="Arial"/>
          <w:sz w:val="24"/>
          <w:szCs w:val="24"/>
        </w:rPr>
        <w:t xml:space="preserve"> </w:t>
      </w:r>
      <w:r w:rsidRPr="00780D2B">
        <w:rPr>
          <w:rFonts w:ascii="Arial" w:eastAsia="Arial" w:hAnsi="Arial" w:cs="Arial"/>
          <w:b/>
          <w:bCs/>
          <w:sz w:val="24"/>
          <w:szCs w:val="24"/>
        </w:rPr>
        <w:t>81</w:t>
      </w:r>
      <w:r w:rsidRPr="00780D2B">
        <w:rPr>
          <w:rFonts w:ascii="Arial" w:eastAsia="Arial" w:hAnsi="Arial" w:cs="Arial"/>
          <w:sz w:val="24"/>
          <w:szCs w:val="24"/>
        </w:rPr>
        <w:t xml:space="preserve">, no. 3, 530–533, </w:t>
      </w:r>
      <w:proofErr w:type="spellStart"/>
      <w:r w:rsidRPr="00780D2B">
        <w:rPr>
          <w:rFonts w:ascii="Arial" w:eastAsia="Arial" w:hAnsi="Arial" w:cs="Arial"/>
          <w:sz w:val="24"/>
          <w:szCs w:val="24"/>
        </w:rPr>
        <w:t>doi</w:t>
      </w:r>
      <w:proofErr w:type="spellEnd"/>
      <w:r w:rsidRPr="00780D2B">
        <w:rPr>
          <w:rFonts w:ascii="Arial" w:eastAsia="Arial" w:hAnsi="Arial" w:cs="Arial"/>
          <w:sz w:val="24"/>
          <w:szCs w:val="24"/>
        </w:rPr>
        <w:t>:</w:t>
      </w:r>
      <w:hyperlink r:id="rId38">
        <w:r w:rsidR="007D17B2" w:rsidRPr="00780D2B">
          <w:rPr>
            <w:rFonts w:ascii="Arial" w:eastAsia="Arial" w:hAnsi="Arial" w:cs="Arial"/>
            <w:sz w:val="24"/>
            <w:szCs w:val="24"/>
          </w:rPr>
          <w:t xml:space="preserve"> </w:t>
        </w:r>
      </w:hyperlink>
      <w:hyperlink r:id="rId39">
        <w:r w:rsidR="007D17B2" w:rsidRPr="00780D2B">
          <w:rPr>
            <w:rFonts w:ascii="Arial" w:eastAsia="Arial" w:hAnsi="Arial" w:cs="Arial"/>
            <w:color w:val="1155CC"/>
            <w:sz w:val="24"/>
            <w:szCs w:val="24"/>
            <w:u w:val="single"/>
          </w:rPr>
          <w:t>10.1785/gssrl.81.3.530</w:t>
        </w:r>
      </w:hyperlink>
      <w:r w:rsidRPr="00780D2B">
        <w:rPr>
          <w:rFonts w:ascii="Arial" w:eastAsia="Arial" w:hAnsi="Arial" w:cs="Arial"/>
          <w:sz w:val="24"/>
          <w:szCs w:val="24"/>
        </w:rPr>
        <w:t>.</w:t>
      </w:r>
    </w:p>
    <w:p w14:paraId="149A5E65" w14:textId="77777777" w:rsidR="007D17B2" w:rsidRPr="00780D2B" w:rsidRDefault="00000000">
      <w:pPr>
        <w:spacing w:before="240" w:after="120" w:line="480" w:lineRule="auto"/>
        <w:jc w:val="both"/>
        <w:rPr>
          <w:rFonts w:ascii="Arial" w:eastAsia="Arial" w:hAnsi="Arial" w:cs="Arial"/>
          <w:sz w:val="24"/>
          <w:szCs w:val="24"/>
          <w:lang w:val="it-IT"/>
        </w:rPr>
      </w:pPr>
      <w:r w:rsidRPr="00780D2B">
        <w:rPr>
          <w:rFonts w:ascii="Arial" w:eastAsia="Arial" w:hAnsi="Arial" w:cs="Arial"/>
          <w:sz w:val="24"/>
          <w:szCs w:val="24"/>
          <w:lang w:val="it-IT"/>
        </w:rPr>
        <w:t xml:space="preserve">Bindi, D., S. Parolai, M. Picozzi and A. Ansal (2010). </w:t>
      </w:r>
      <w:r w:rsidRPr="00780D2B">
        <w:rPr>
          <w:rFonts w:ascii="Arial" w:eastAsia="Arial" w:hAnsi="Arial" w:cs="Arial"/>
          <w:sz w:val="24"/>
          <w:szCs w:val="24"/>
        </w:rPr>
        <w:t xml:space="preserve">Seismic input motion determined from a surface-downhole pair of sensors: a constrained deconvolution approach. </w:t>
      </w:r>
      <w:proofErr w:type="spellStart"/>
      <w:r w:rsidRPr="00780D2B">
        <w:rPr>
          <w:rFonts w:ascii="Arial" w:eastAsia="Arial" w:hAnsi="Arial" w:cs="Arial"/>
          <w:i/>
          <w:iCs/>
          <w:sz w:val="24"/>
          <w:szCs w:val="24"/>
          <w:lang w:val="it-IT"/>
        </w:rPr>
        <w:t>Bulletin</w:t>
      </w:r>
      <w:proofErr w:type="spellEnd"/>
      <w:r w:rsidRPr="00780D2B">
        <w:rPr>
          <w:rFonts w:ascii="Arial" w:eastAsia="Arial" w:hAnsi="Arial" w:cs="Arial"/>
          <w:i/>
          <w:iCs/>
          <w:sz w:val="24"/>
          <w:szCs w:val="24"/>
          <w:lang w:val="it-IT"/>
        </w:rPr>
        <w:t xml:space="preserve"> of the </w:t>
      </w:r>
      <w:proofErr w:type="spellStart"/>
      <w:r w:rsidRPr="00780D2B">
        <w:rPr>
          <w:rFonts w:ascii="Arial" w:eastAsia="Arial" w:hAnsi="Arial" w:cs="Arial"/>
          <w:i/>
          <w:iCs/>
          <w:sz w:val="24"/>
          <w:szCs w:val="24"/>
          <w:lang w:val="it-IT"/>
        </w:rPr>
        <w:t>Seismological</w:t>
      </w:r>
      <w:proofErr w:type="spellEnd"/>
      <w:r w:rsidRPr="00780D2B">
        <w:rPr>
          <w:rFonts w:ascii="Arial" w:eastAsia="Arial" w:hAnsi="Arial" w:cs="Arial"/>
          <w:i/>
          <w:iCs/>
          <w:sz w:val="24"/>
          <w:szCs w:val="24"/>
          <w:lang w:val="it-IT"/>
        </w:rPr>
        <w:t xml:space="preserve"> Society of America</w:t>
      </w:r>
      <w:r w:rsidRPr="00780D2B">
        <w:rPr>
          <w:rFonts w:ascii="Arial" w:eastAsia="Arial" w:hAnsi="Arial" w:cs="Arial"/>
          <w:sz w:val="24"/>
          <w:szCs w:val="24"/>
          <w:lang w:val="it-IT"/>
        </w:rPr>
        <w:t xml:space="preserve"> </w:t>
      </w:r>
      <w:r w:rsidRPr="00780D2B">
        <w:rPr>
          <w:rFonts w:ascii="Arial" w:eastAsia="Arial" w:hAnsi="Arial" w:cs="Arial"/>
          <w:b/>
          <w:bCs/>
          <w:sz w:val="24"/>
          <w:szCs w:val="24"/>
          <w:lang w:val="it-IT"/>
        </w:rPr>
        <w:t>100</w:t>
      </w:r>
      <w:r w:rsidRPr="00780D2B">
        <w:rPr>
          <w:rFonts w:ascii="Arial" w:eastAsia="Arial" w:hAnsi="Arial" w:cs="Arial"/>
          <w:sz w:val="24"/>
          <w:szCs w:val="24"/>
          <w:lang w:val="it-IT"/>
        </w:rPr>
        <w:t xml:space="preserve">, no. 3, 1375–1380, </w:t>
      </w:r>
      <w:proofErr w:type="spellStart"/>
      <w:r w:rsidRPr="00780D2B">
        <w:rPr>
          <w:rFonts w:ascii="Arial" w:eastAsia="Arial" w:hAnsi="Arial" w:cs="Arial"/>
          <w:sz w:val="24"/>
          <w:szCs w:val="24"/>
          <w:lang w:val="it-IT"/>
        </w:rPr>
        <w:t>doi</w:t>
      </w:r>
      <w:proofErr w:type="spellEnd"/>
      <w:r w:rsidRPr="00780D2B">
        <w:rPr>
          <w:rFonts w:ascii="Arial" w:eastAsia="Arial" w:hAnsi="Arial" w:cs="Arial"/>
          <w:sz w:val="24"/>
          <w:szCs w:val="24"/>
          <w:lang w:val="it-IT"/>
        </w:rPr>
        <w:t xml:space="preserve">: </w:t>
      </w:r>
      <w:hyperlink r:id="rId40">
        <w:r w:rsidR="007D17B2" w:rsidRPr="00780D2B">
          <w:rPr>
            <w:rFonts w:ascii="Arial" w:eastAsia="Arial" w:hAnsi="Arial" w:cs="Arial"/>
            <w:color w:val="1155CC"/>
            <w:sz w:val="24"/>
            <w:szCs w:val="24"/>
            <w:u w:val="single"/>
            <w:lang w:val="it-IT"/>
          </w:rPr>
          <w:t>10.1785/0120090306</w:t>
        </w:r>
      </w:hyperlink>
    </w:p>
    <w:p w14:paraId="0123FE92" w14:textId="77777777" w:rsidR="007D17B2" w:rsidRPr="00780D2B" w:rsidRDefault="00000000">
      <w:pPr>
        <w:spacing w:before="240" w:after="120" w:line="480" w:lineRule="auto"/>
        <w:jc w:val="both"/>
        <w:rPr>
          <w:rFonts w:ascii="Arial" w:eastAsia="Arial" w:hAnsi="Arial" w:cs="Arial"/>
          <w:sz w:val="24"/>
          <w:szCs w:val="24"/>
        </w:rPr>
      </w:pPr>
      <w:r w:rsidRPr="00780D2B">
        <w:rPr>
          <w:rFonts w:ascii="Arial" w:eastAsia="Arial" w:hAnsi="Arial" w:cs="Arial"/>
          <w:sz w:val="24"/>
          <w:szCs w:val="24"/>
          <w:lang w:val="it-IT"/>
        </w:rPr>
        <w:t xml:space="preserve">Bragato, P. L., P. Comelli, A. </w:t>
      </w:r>
      <w:proofErr w:type="spellStart"/>
      <w:r w:rsidRPr="00780D2B">
        <w:rPr>
          <w:rFonts w:ascii="Arial" w:eastAsia="Arial" w:hAnsi="Arial" w:cs="Arial"/>
          <w:sz w:val="24"/>
          <w:szCs w:val="24"/>
          <w:lang w:val="it-IT"/>
        </w:rPr>
        <w:t>Saraò</w:t>
      </w:r>
      <w:proofErr w:type="spellEnd"/>
      <w:r w:rsidRPr="00780D2B">
        <w:rPr>
          <w:rFonts w:ascii="Arial" w:eastAsia="Arial" w:hAnsi="Arial" w:cs="Arial"/>
          <w:sz w:val="24"/>
          <w:szCs w:val="24"/>
          <w:lang w:val="it-IT"/>
        </w:rPr>
        <w:t xml:space="preserve">, D. Zuliani, L. Moratto, V. Poggi, G. Rossi, C. Scaini, M. Sugan, C. Barnaba, </w:t>
      </w:r>
      <w:r w:rsidRPr="00780D2B">
        <w:rPr>
          <w:rFonts w:ascii="Arial" w:eastAsia="Arial" w:hAnsi="Arial" w:cs="Arial"/>
          <w:i/>
          <w:iCs/>
          <w:sz w:val="24"/>
          <w:szCs w:val="24"/>
          <w:lang w:val="it-IT"/>
        </w:rPr>
        <w:t>et al.</w:t>
      </w:r>
      <w:r w:rsidRPr="00780D2B">
        <w:rPr>
          <w:rFonts w:ascii="Arial" w:eastAsia="Arial" w:hAnsi="Arial" w:cs="Arial"/>
          <w:sz w:val="24"/>
          <w:szCs w:val="24"/>
          <w:lang w:val="it-IT"/>
        </w:rPr>
        <w:t xml:space="preserve"> </w:t>
      </w:r>
      <w:r w:rsidRPr="00780D2B">
        <w:rPr>
          <w:rFonts w:ascii="Arial" w:eastAsia="Arial" w:hAnsi="Arial" w:cs="Arial"/>
          <w:sz w:val="24"/>
          <w:szCs w:val="24"/>
        </w:rPr>
        <w:t xml:space="preserve">(2021). The OGS–Northeastern Italy Seismic and Deformation Network: Current Status and Outlook, </w:t>
      </w:r>
      <w:r w:rsidRPr="00780D2B">
        <w:rPr>
          <w:rFonts w:ascii="Arial" w:eastAsia="Arial" w:hAnsi="Arial" w:cs="Arial"/>
          <w:i/>
          <w:iCs/>
          <w:sz w:val="24"/>
          <w:szCs w:val="24"/>
        </w:rPr>
        <w:t>Seismological Research Letters</w:t>
      </w:r>
      <w:r w:rsidRPr="00780D2B">
        <w:rPr>
          <w:rFonts w:ascii="Arial" w:eastAsia="Arial" w:hAnsi="Arial" w:cs="Arial"/>
          <w:sz w:val="24"/>
          <w:szCs w:val="24"/>
        </w:rPr>
        <w:t xml:space="preserve"> </w:t>
      </w:r>
      <w:r w:rsidRPr="00780D2B">
        <w:rPr>
          <w:rFonts w:ascii="Arial" w:eastAsia="Arial" w:hAnsi="Arial" w:cs="Arial"/>
          <w:b/>
          <w:bCs/>
          <w:sz w:val="24"/>
          <w:szCs w:val="24"/>
        </w:rPr>
        <w:t>92</w:t>
      </w:r>
      <w:r w:rsidRPr="00780D2B">
        <w:rPr>
          <w:rFonts w:ascii="Arial" w:eastAsia="Arial" w:hAnsi="Arial" w:cs="Arial"/>
          <w:sz w:val="24"/>
          <w:szCs w:val="24"/>
        </w:rPr>
        <w:t xml:space="preserve">, no. 3, 1704–1716, </w:t>
      </w:r>
      <w:proofErr w:type="spellStart"/>
      <w:r w:rsidRPr="00780D2B">
        <w:rPr>
          <w:rFonts w:ascii="Arial" w:eastAsia="Arial" w:hAnsi="Arial" w:cs="Arial"/>
          <w:sz w:val="24"/>
          <w:szCs w:val="24"/>
        </w:rPr>
        <w:t>doi</w:t>
      </w:r>
      <w:proofErr w:type="spellEnd"/>
      <w:r w:rsidRPr="00780D2B">
        <w:rPr>
          <w:rFonts w:ascii="Arial" w:eastAsia="Arial" w:hAnsi="Arial" w:cs="Arial"/>
          <w:sz w:val="24"/>
          <w:szCs w:val="24"/>
        </w:rPr>
        <w:t>:</w:t>
      </w:r>
      <w:hyperlink r:id="rId41">
        <w:r w:rsidR="007D17B2" w:rsidRPr="00780D2B">
          <w:rPr>
            <w:rFonts w:ascii="Arial" w:eastAsia="Arial" w:hAnsi="Arial" w:cs="Arial"/>
            <w:sz w:val="24"/>
            <w:szCs w:val="24"/>
          </w:rPr>
          <w:t xml:space="preserve"> </w:t>
        </w:r>
      </w:hyperlink>
      <w:hyperlink r:id="rId42">
        <w:r w:rsidR="007D17B2" w:rsidRPr="00780D2B">
          <w:rPr>
            <w:rFonts w:ascii="Arial" w:eastAsia="Arial" w:hAnsi="Arial" w:cs="Arial"/>
            <w:color w:val="1155CC"/>
            <w:sz w:val="24"/>
            <w:szCs w:val="24"/>
            <w:u w:val="single"/>
          </w:rPr>
          <w:t>10.1785/0220200372</w:t>
        </w:r>
      </w:hyperlink>
      <w:r w:rsidRPr="00780D2B">
        <w:rPr>
          <w:rFonts w:ascii="Arial" w:eastAsia="Arial" w:hAnsi="Arial" w:cs="Arial"/>
          <w:sz w:val="24"/>
          <w:szCs w:val="24"/>
        </w:rPr>
        <w:t>.</w:t>
      </w:r>
    </w:p>
    <w:p w14:paraId="5CE9CB27" w14:textId="77777777" w:rsidR="007D17B2" w:rsidRPr="00780D2B" w:rsidRDefault="00000000">
      <w:pPr>
        <w:spacing w:before="240" w:after="120" w:line="480" w:lineRule="auto"/>
        <w:jc w:val="both"/>
        <w:rPr>
          <w:rFonts w:ascii="Arial" w:eastAsia="Arial" w:hAnsi="Arial" w:cs="Arial"/>
          <w:sz w:val="24"/>
          <w:szCs w:val="24"/>
        </w:rPr>
      </w:pPr>
      <w:r w:rsidRPr="00780D2B">
        <w:rPr>
          <w:rFonts w:ascii="Arial" w:eastAsia="Arial" w:hAnsi="Arial" w:cs="Arial"/>
          <w:sz w:val="24"/>
          <w:szCs w:val="24"/>
          <w:lang w:val="it-IT"/>
        </w:rPr>
        <w:t xml:space="preserve">Bragato, P. L., M. Sugan, P. Augliera, M. Massa, A. Vuan, and A. </w:t>
      </w:r>
      <w:proofErr w:type="spellStart"/>
      <w:r w:rsidRPr="00780D2B">
        <w:rPr>
          <w:rFonts w:ascii="Arial" w:eastAsia="Arial" w:hAnsi="Arial" w:cs="Arial"/>
          <w:sz w:val="24"/>
          <w:szCs w:val="24"/>
          <w:lang w:val="it-IT"/>
        </w:rPr>
        <w:t>Saraò</w:t>
      </w:r>
      <w:proofErr w:type="spellEnd"/>
      <w:r w:rsidRPr="00780D2B">
        <w:rPr>
          <w:rFonts w:ascii="Arial" w:eastAsia="Arial" w:hAnsi="Arial" w:cs="Arial"/>
          <w:sz w:val="24"/>
          <w:szCs w:val="24"/>
          <w:lang w:val="it-IT"/>
        </w:rPr>
        <w:t xml:space="preserve"> (2011). </w:t>
      </w:r>
      <w:r w:rsidRPr="00780D2B">
        <w:rPr>
          <w:rFonts w:ascii="Arial" w:eastAsia="Arial" w:hAnsi="Arial" w:cs="Arial"/>
          <w:sz w:val="24"/>
          <w:szCs w:val="24"/>
        </w:rPr>
        <w:t xml:space="preserve">Moho Reflection Effects in the Po Plain (Northern Italy) Observed from Instrumental and Intensity Data, </w:t>
      </w:r>
      <w:r w:rsidRPr="00780D2B">
        <w:rPr>
          <w:rFonts w:ascii="Arial" w:eastAsia="Arial" w:hAnsi="Arial" w:cs="Arial"/>
          <w:i/>
          <w:iCs/>
          <w:sz w:val="24"/>
          <w:szCs w:val="24"/>
        </w:rPr>
        <w:t>Bulletin of the Seismological Society of America</w:t>
      </w:r>
      <w:r w:rsidRPr="00780D2B">
        <w:rPr>
          <w:rFonts w:ascii="Arial" w:eastAsia="Arial" w:hAnsi="Arial" w:cs="Arial"/>
          <w:sz w:val="24"/>
          <w:szCs w:val="24"/>
        </w:rPr>
        <w:t xml:space="preserve"> </w:t>
      </w:r>
      <w:r w:rsidRPr="00780D2B">
        <w:rPr>
          <w:rFonts w:ascii="Arial" w:eastAsia="Arial" w:hAnsi="Arial" w:cs="Arial"/>
          <w:b/>
          <w:bCs/>
          <w:sz w:val="24"/>
          <w:szCs w:val="24"/>
        </w:rPr>
        <w:t>101</w:t>
      </w:r>
      <w:r w:rsidRPr="00780D2B">
        <w:rPr>
          <w:rFonts w:ascii="Arial" w:eastAsia="Arial" w:hAnsi="Arial" w:cs="Arial"/>
          <w:sz w:val="24"/>
          <w:szCs w:val="24"/>
        </w:rPr>
        <w:t xml:space="preserve">, no. 5, 2142–2152, </w:t>
      </w:r>
      <w:proofErr w:type="spellStart"/>
      <w:r w:rsidRPr="00780D2B">
        <w:rPr>
          <w:rFonts w:ascii="Arial" w:eastAsia="Arial" w:hAnsi="Arial" w:cs="Arial"/>
          <w:sz w:val="24"/>
          <w:szCs w:val="24"/>
        </w:rPr>
        <w:t>doi</w:t>
      </w:r>
      <w:proofErr w:type="spellEnd"/>
      <w:r w:rsidRPr="00780D2B">
        <w:rPr>
          <w:rFonts w:ascii="Arial" w:eastAsia="Arial" w:hAnsi="Arial" w:cs="Arial"/>
          <w:sz w:val="24"/>
          <w:szCs w:val="24"/>
        </w:rPr>
        <w:t>:</w:t>
      </w:r>
      <w:hyperlink r:id="rId43">
        <w:r w:rsidR="007D17B2" w:rsidRPr="00780D2B">
          <w:rPr>
            <w:rFonts w:ascii="Arial" w:eastAsia="Arial" w:hAnsi="Arial" w:cs="Arial"/>
            <w:sz w:val="24"/>
            <w:szCs w:val="24"/>
          </w:rPr>
          <w:t xml:space="preserve"> </w:t>
        </w:r>
      </w:hyperlink>
      <w:hyperlink r:id="rId44">
        <w:r w:rsidR="007D17B2" w:rsidRPr="00780D2B">
          <w:rPr>
            <w:rFonts w:ascii="Arial" w:eastAsia="Arial" w:hAnsi="Arial" w:cs="Arial"/>
            <w:color w:val="1155CC"/>
            <w:sz w:val="24"/>
            <w:szCs w:val="24"/>
            <w:u w:val="single"/>
          </w:rPr>
          <w:t>10.1785/0120100257</w:t>
        </w:r>
      </w:hyperlink>
      <w:r w:rsidRPr="00780D2B">
        <w:rPr>
          <w:rFonts w:ascii="Arial" w:eastAsia="Arial" w:hAnsi="Arial" w:cs="Arial"/>
          <w:sz w:val="24"/>
          <w:szCs w:val="24"/>
        </w:rPr>
        <w:t>.</w:t>
      </w:r>
    </w:p>
    <w:p w14:paraId="10238624" w14:textId="77777777" w:rsidR="007D17B2" w:rsidRPr="00780D2B" w:rsidRDefault="00000000">
      <w:pPr>
        <w:spacing w:before="240" w:after="120" w:line="480" w:lineRule="auto"/>
        <w:jc w:val="both"/>
        <w:rPr>
          <w:rFonts w:ascii="Arial" w:eastAsia="Arial" w:hAnsi="Arial" w:cs="Arial"/>
          <w:i/>
          <w:iCs/>
          <w:sz w:val="24"/>
          <w:szCs w:val="24"/>
        </w:rPr>
      </w:pPr>
      <w:r w:rsidRPr="00780D2B">
        <w:rPr>
          <w:rFonts w:ascii="Arial" w:eastAsia="Arial" w:hAnsi="Arial" w:cs="Arial"/>
          <w:sz w:val="24"/>
          <w:szCs w:val="24"/>
        </w:rPr>
        <w:lastRenderedPageBreak/>
        <w:t xml:space="preserve">Brincker, R., Ventura, C. E., and P. Andersen (2001). Damping Estimation by Frequency Domain Decomposition. In </w:t>
      </w:r>
      <w:r w:rsidRPr="00780D2B">
        <w:rPr>
          <w:rFonts w:ascii="Arial" w:eastAsia="Arial" w:hAnsi="Arial" w:cs="Arial"/>
          <w:i/>
          <w:iCs/>
          <w:sz w:val="24"/>
          <w:szCs w:val="24"/>
        </w:rPr>
        <w:t xml:space="preserve">Proceedings of IMAC 19: A Conference on Structural Dynamics, Kissimmee, Florida </w:t>
      </w:r>
      <w:r w:rsidRPr="00780D2B">
        <w:rPr>
          <w:rFonts w:ascii="Arial" w:eastAsia="Arial" w:hAnsi="Arial" w:cs="Arial"/>
          <w:sz w:val="24"/>
          <w:szCs w:val="24"/>
        </w:rPr>
        <w:t>(pp. 698-703)</w:t>
      </w:r>
      <w:r w:rsidRPr="00780D2B">
        <w:rPr>
          <w:rFonts w:ascii="Arial" w:eastAsia="Arial" w:hAnsi="Arial" w:cs="Arial"/>
          <w:i/>
          <w:iCs/>
          <w:sz w:val="24"/>
          <w:szCs w:val="24"/>
        </w:rPr>
        <w:t>.</w:t>
      </w:r>
    </w:p>
    <w:p w14:paraId="3DDDD265" w14:textId="77777777" w:rsidR="007D17B2" w:rsidRPr="00780D2B" w:rsidRDefault="00000000">
      <w:pPr>
        <w:spacing w:before="240" w:after="120" w:line="480" w:lineRule="auto"/>
        <w:jc w:val="both"/>
        <w:rPr>
          <w:rFonts w:ascii="Arial" w:eastAsia="Arial" w:hAnsi="Arial" w:cs="Arial"/>
          <w:sz w:val="24"/>
          <w:szCs w:val="24"/>
        </w:rPr>
      </w:pPr>
      <w:r w:rsidRPr="00780D2B">
        <w:rPr>
          <w:rFonts w:ascii="Arial" w:eastAsia="Arial" w:hAnsi="Arial" w:cs="Arial"/>
          <w:sz w:val="24"/>
          <w:szCs w:val="24"/>
          <w:lang w:val="de-DE"/>
        </w:rPr>
        <w:t xml:space="preserve">Brincker, R., L. Zhang, and P. Andersen (2001). </w:t>
      </w:r>
      <w:r w:rsidRPr="00780D2B">
        <w:rPr>
          <w:rFonts w:ascii="Arial" w:eastAsia="Arial" w:hAnsi="Arial" w:cs="Arial"/>
          <w:sz w:val="24"/>
          <w:szCs w:val="24"/>
        </w:rPr>
        <w:t xml:space="preserve">Modal identification of output-only systems using frequency domain decomposition, </w:t>
      </w:r>
      <w:r w:rsidRPr="00780D2B">
        <w:rPr>
          <w:rFonts w:ascii="Arial" w:eastAsia="Arial" w:hAnsi="Arial" w:cs="Arial"/>
          <w:i/>
          <w:iCs/>
          <w:sz w:val="24"/>
          <w:szCs w:val="24"/>
        </w:rPr>
        <w:t>Smart Mater. Struct.</w:t>
      </w:r>
      <w:r w:rsidRPr="00780D2B">
        <w:rPr>
          <w:rFonts w:ascii="Arial" w:eastAsia="Arial" w:hAnsi="Arial" w:cs="Arial"/>
          <w:sz w:val="24"/>
          <w:szCs w:val="24"/>
        </w:rPr>
        <w:t xml:space="preserve"> </w:t>
      </w:r>
      <w:r w:rsidRPr="00780D2B">
        <w:rPr>
          <w:rFonts w:ascii="Arial" w:eastAsia="Arial" w:hAnsi="Arial" w:cs="Arial"/>
          <w:b/>
          <w:bCs/>
          <w:sz w:val="24"/>
          <w:szCs w:val="24"/>
        </w:rPr>
        <w:t>10</w:t>
      </w:r>
      <w:r w:rsidRPr="00780D2B">
        <w:rPr>
          <w:rFonts w:ascii="Arial" w:eastAsia="Arial" w:hAnsi="Arial" w:cs="Arial"/>
          <w:sz w:val="24"/>
          <w:szCs w:val="24"/>
        </w:rPr>
        <w:t xml:space="preserve">, no. 3, 441–445, </w:t>
      </w:r>
      <w:proofErr w:type="spellStart"/>
      <w:r w:rsidRPr="00780D2B">
        <w:rPr>
          <w:rFonts w:ascii="Arial" w:eastAsia="Arial" w:hAnsi="Arial" w:cs="Arial"/>
          <w:sz w:val="24"/>
          <w:szCs w:val="24"/>
        </w:rPr>
        <w:t>doi</w:t>
      </w:r>
      <w:proofErr w:type="spellEnd"/>
      <w:r w:rsidRPr="00780D2B">
        <w:rPr>
          <w:rFonts w:ascii="Arial" w:eastAsia="Arial" w:hAnsi="Arial" w:cs="Arial"/>
          <w:sz w:val="24"/>
          <w:szCs w:val="24"/>
        </w:rPr>
        <w:t>:</w:t>
      </w:r>
      <w:hyperlink r:id="rId45">
        <w:r w:rsidR="007D17B2" w:rsidRPr="00780D2B">
          <w:rPr>
            <w:rFonts w:ascii="Arial" w:eastAsia="Arial" w:hAnsi="Arial" w:cs="Arial"/>
            <w:sz w:val="24"/>
            <w:szCs w:val="24"/>
          </w:rPr>
          <w:t xml:space="preserve"> </w:t>
        </w:r>
      </w:hyperlink>
      <w:hyperlink r:id="rId46">
        <w:r w:rsidR="007D17B2" w:rsidRPr="00780D2B">
          <w:rPr>
            <w:rFonts w:ascii="Arial" w:eastAsia="Arial" w:hAnsi="Arial" w:cs="Arial"/>
            <w:color w:val="1155CC"/>
            <w:sz w:val="24"/>
            <w:szCs w:val="24"/>
            <w:u w:val="single"/>
          </w:rPr>
          <w:t>10.1088/0964-1726/10/3/303</w:t>
        </w:r>
      </w:hyperlink>
      <w:r w:rsidRPr="00780D2B">
        <w:rPr>
          <w:rFonts w:ascii="Arial" w:eastAsia="Arial" w:hAnsi="Arial" w:cs="Arial"/>
          <w:sz w:val="24"/>
          <w:szCs w:val="24"/>
        </w:rPr>
        <w:t>.</w:t>
      </w:r>
    </w:p>
    <w:p w14:paraId="01DD32D4" w14:textId="77777777" w:rsidR="007D17B2" w:rsidRPr="00780D2B" w:rsidRDefault="00000000">
      <w:pPr>
        <w:spacing w:before="240" w:after="120" w:line="480" w:lineRule="auto"/>
        <w:jc w:val="both"/>
        <w:rPr>
          <w:rFonts w:ascii="Arial" w:eastAsia="Arial" w:hAnsi="Arial" w:cs="Arial"/>
          <w:sz w:val="24"/>
          <w:szCs w:val="24"/>
        </w:rPr>
      </w:pPr>
      <w:r w:rsidRPr="00780D2B">
        <w:rPr>
          <w:rFonts w:ascii="Arial" w:eastAsia="Arial" w:hAnsi="Arial" w:cs="Arial"/>
          <w:sz w:val="24"/>
          <w:szCs w:val="24"/>
        </w:rPr>
        <w:t>Cardenas, M., P.-Y. Bard, P. Gueguen, and F. J. Chávez-Garcia (2000). Soil–structure interaction in Mexico City.  Wave field radiated away from Jalapa Building: data and modelling.</w:t>
      </w:r>
    </w:p>
    <w:p w14:paraId="1DF3A318" w14:textId="39FF9155" w:rsidR="007D17B2" w:rsidRPr="00780D2B" w:rsidRDefault="00000000">
      <w:pPr>
        <w:spacing w:before="240" w:after="120" w:line="480" w:lineRule="auto"/>
        <w:jc w:val="both"/>
        <w:rPr>
          <w:rFonts w:ascii="Arial" w:eastAsia="Arial" w:hAnsi="Arial" w:cs="Arial"/>
          <w:sz w:val="24"/>
          <w:szCs w:val="24"/>
        </w:rPr>
      </w:pPr>
      <w:r w:rsidRPr="00780D2B">
        <w:rPr>
          <w:rFonts w:ascii="Arial" w:eastAsia="Arial" w:hAnsi="Arial" w:cs="Arial"/>
          <w:sz w:val="24"/>
          <w:szCs w:val="24"/>
          <w:lang w:val="it-IT"/>
        </w:rPr>
        <w:t xml:space="preserve">Cataldi, L., B. Petrovic, D. </w:t>
      </w:r>
      <w:proofErr w:type="spellStart"/>
      <w:r w:rsidRPr="00780D2B">
        <w:rPr>
          <w:rFonts w:ascii="Arial" w:eastAsia="Arial" w:hAnsi="Arial" w:cs="Arial"/>
          <w:sz w:val="24"/>
          <w:szCs w:val="24"/>
          <w:lang w:val="it-IT"/>
        </w:rPr>
        <w:t>Ertuncay</w:t>
      </w:r>
      <w:proofErr w:type="spellEnd"/>
      <w:r w:rsidRPr="00780D2B">
        <w:rPr>
          <w:rFonts w:ascii="Arial" w:eastAsia="Arial" w:hAnsi="Arial" w:cs="Arial"/>
          <w:sz w:val="24"/>
          <w:szCs w:val="24"/>
          <w:lang w:val="it-IT"/>
        </w:rPr>
        <w:t xml:space="preserve">, G. Capotosti, M. Romanelli, C. Scaini, L. Martelli, S. Parolai, and V. Poggi (2025). </w:t>
      </w:r>
      <w:r w:rsidRPr="00780D2B">
        <w:rPr>
          <w:rFonts w:ascii="Arial" w:eastAsia="Arial" w:hAnsi="Arial" w:cs="Arial"/>
          <w:sz w:val="24"/>
          <w:szCs w:val="24"/>
        </w:rPr>
        <w:t>Supplements to “The Terza Torre Seismic Array in Bologna, Italy: A Dataset for Soil–Structure Interaction Studies in Urban Settings”</w:t>
      </w:r>
      <w:r w:rsidR="00FE0AB8">
        <w:rPr>
          <w:rFonts w:ascii="Arial" w:eastAsia="Arial" w:hAnsi="Arial" w:cs="Arial"/>
          <w:sz w:val="24"/>
          <w:szCs w:val="24"/>
        </w:rPr>
        <w:t>,</w:t>
      </w:r>
      <w:r w:rsidRPr="00780D2B">
        <w:rPr>
          <w:rFonts w:ascii="Arial" w:eastAsia="Arial" w:hAnsi="Arial" w:cs="Arial"/>
          <w:sz w:val="24"/>
          <w:szCs w:val="24"/>
        </w:rPr>
        <w:t xml:space="preserve"> </w:t>
      </w:r>
      <w:proofErr w:type="spellStart"/>
      <w:r w:rsidRPr="00780D2B">
        <w:rPr>
          <w:rFonts w:ascii="Arial" w:eastAsia="Arial" w:hAnsi="Arial" w:cs="Arial"/>
          <w:sz w:val="24"/>
          <w:szCs w:val="24"/>
        </w:rPr>
        <w:t>Zenodo</w:t>
      </w:r>
      <w:proofErr w:type="spellEnd"/>
      <w:r w:rsidRPr="00780D2B">
        <w:rPr>
          <w:rFonts w:ascii="Arial" w:eastAsia="Arial" w:hAnsi="Arial" w:cs="Arial"/>
          <w:sz w:val="24"/>
          <w:szCs w:val="24"/>
        </w:rPr>
        <w:t xml:space="preserve">, </w:t>
      </w:r>
      <w:proofErr w:type="spellStart"/>
      <w:r w:rsidRPr="00780D2B">
        <w:rPr>
          <w:rFonts w:ascii="Arial" w:eastAsia="Arial" w:hAnsi="Arial" w:cs="Arial"/>
          <w:sz w:val="24"/>
          <w:szCs w:val="24"/>
        </w:rPr>
        <w:t>doi</w:t>
      </w:r>
      <w:proofErr w:type="spellEnd"/>
      <w:r w:rsidRPr="00780D2B">
        <w:rPr>
          <w:rFonts w:ascii="Arial" w:eastAsia="Arial" w:hAnsi="Arial" w:cs="Arial"/>
          <w:sz w:val="24"/>
          <w:szCs w:val="24"/>
        </w:rPr>
        <w:t>:</w:t>
      </w:r>
      <w:hyperlink r:id="rId47">
        <w:r w:rsidR="007D17B2" w:rsidRPr="00780D2B">
          <w:rPr>
            <w:rFonts w:ascii="Arial" w:eastAsia="Arial" w:hAnsi="Arial" w:cs="Arial"/>
            <w:sz w:val="24"/>
            <w:szCs w:val="24"/>
          </w:rPr>
          <w:t xml:space="preserve"> </w:t>
        </w:r>
      </w:hyperlink>
      <w:hyperlink r:id="rId48">
        <w:r w:rsidR="007D17B2" w:rsidRPr="00780D2B">
          <w:rPr>
            <w:rFonts w:ascii="Arial" w:eastAsia="Arial" w:hAnsi="Arial" w:cs="Arial"/>
            <w:color w:val="1155CC"/>
            <w:sz w:val="24"/>
            <w:szCs w:val="24"/>
            <w:u w:val="single"/>
          </w:rPr>
          <w:t>https://doi.org/10.5281/zenodo.15520147</w:t>
        </w:r>
      </w:hyperlink>
      <w:r w:rsidRPr="00780D2B">
        <w:rPr>
          <w:rFonts w:ascii="Arial" w:eastAsia="Arial" w:hAnsi="Arial" w:cs="Arial"/>
          <w:sz w:val="24"/>
          <w:szCs w:val="24"/>
        </w:rPr>
        <w:t>.</w:t>
      </w:r>
    </w:p>
    <w:p w14:paraId="26C48C6A" w14:textId="77777777" w:rsidR="007D17B2" w:rsidRPr="00780D2B" w:rsidRDefault="00000000">
      <w:pPr>
        <w:spacing w:before="240" w:after="120" w:line="480" w:lineRule="auto"/>
        <w:jc w:val="both"/>
        <w:rPr>
          <w:rFonts w:ascii="Arial" w:eastAsia="Arial" w:hAnsi="Arial" w:cs="Arial"/>
          <w:sz w:val="24"/>
          <w:szCs w:val="24"/>
        </w:rPr>
      </w:pPr>
      <w:r w:rsidRPr="00780D2B">
        <w:rPr>
          <w:rFonts w:ascii="Arial" w:eastAsia="Arial" w:hAnsi="Arial" w:cs="Arial"/>
          <w:sz w:val="24"/>
          <w:szCs w:val="24"/>
        </w:rPr>
        <w:t>CEN (2004). Eurocode 2: Design of concrete structures, EN 1992, Brussels.</w:t>
      </w:r>
    </w:p>
    <w:p w14:paraId="5D4B8DEE" w14:textId="77777777" w:rsidR="007D17B2" w:rsidRPr="00780D2B" w:rsidRDefault="00000000">
      <w:pPr>
        <w:spacing w:before="240" w:after="120" w:line="480" w:lineRule="auto"/>
        <w:jc w:val="both"/>
        <w:rPr>
          <w:rFonts w:ascii="Arial" w:eastAsia="Arial" w:hAnsi="Arial" w:cs="Arial"/>
          <w:sz w:val="24"/>
          <w:szCs w:val="24"/>
        </w:rPr>
      </w:pPr>
      <w:r w:rsidRPr="00780D2B">
        <w:rPr>
          <w:rFonts w:ascii="Arial" w:eastAsia="Arial" w:hAnsi="Arial" w:cs="Arial"/>
          <w:sz w:val="24"/>
          <w:szCs w:val="24"/>
        </w:rPr>
        <w:t>CEN (2005). Eurocode 4: Design of composite steel and concrete structures, EN 1994, Brussels.</w:t>
      </w:r>
    </w:p>
    <w:p w14:paraId="3690D1FB" w14:textId="77777777" w:rsidR="007D17B2" w:rsidRPr="00780D2B" w:rsidRDefault="00000000">
      <w:pPr>
        <w:spacing w:before="240" w:after="120" w:line="480" w:lineRule="auto"/>
        <w:jc w:val="both"/>
        <w:rPr>
          <w:rFonts w:ascii="Arial" w:eastAsia="Arial" w:hAnsi="Arial" w:cs="Arial"/>
          <w:sz w:val="24"/>
          <w:szCs w:val="24"/>
        </w:rPr>
      </w:pPr>
      <w:r w:rsidRPr="00780D2B">
        <w:rPr>
          <w:rFonts w:ascii="Arial" w:eastAsia="Arial" w:hAnsi="Arial" w:cs="Arial"/>
          <w:sz w:val="24"/>
          <w:szCs w:val="24"/>
        </w:rPr>
        <w:t>CEN (2006). Eurocode 8: Design of structures for earthquake resistance, EN 1998, Brussels.</w:t>
      </w:r>
    </w:p>
    <w:p w14:paraId="6CD460F3" w14:textId="77777777" w:rsidR="007D17B2" w:rsidRPr="00780D2B" w:rsidRDefault="00000000">
      <w:pPr>
        <w:spacing w:before="240" w:after="120" w:line="480" w:lineRule="auto"/>
        <w:jc w:val="both"/>
        <w:rPr>
          <w:rFonts w:ascii="Arial" w:eastAsia="Arial" w:hAnsi="Arial" w:cs="Arial"/>
          <w:sz w:val="24"/>
          <w:szCs w:val="24"/>
        </w:rPr>
      </w:pPr>
      <w:r w:rsidRPr="00780D2B">
        <w:rPr>
          <w:rFonts w:ascii="Arial" w:eastAsia="Arial" w:hAnsi="Arial" w:cs="Arial"/>
          <w:sz w:val="24"/>
          <w:szCs w:val="24"/>
        </w:rPr>
        <w:t>Chou, J., C. Liu, and C. Chang (2023). Story drift and damage level estimation of buildings using relative acceleration responses with multi</w:t>
      </w:r>
      <w:r w:rsidRPr="00780D2B">
        <w:rPr>
          <w:rFonts w:ascii="Cambria Math" w:eastAsia="Cambria Math" w:hAnsi="Cambria Math" w:cs="Cambria Math"/>
          <w:sz w:val="24"/>
          <w:szCs w:val="24"/>
        </w:rPr>
        <w:t>‐</w:t>
      </w:r>
      <w:r w:rsidRPr="00780D2B">
        <w:rPr>
          <w:rFonts w:ascii="Arial" w:eastAsia="Arial" w:hAnsi="Arial" w:cs="Arial"/>
          <w:sz w:val="24"/>
          <w:szCs w:val="24"/>
        </w:rPr>
        <w:t xml:space="preserve">target deep learning models under </w:t>
      </w:r>
      <w:r w:rsidRPr="00780D2B">
        <w:rPr>
          <w:rFonts w:ascii="Arial" w:eastAsia="Arial" w:hAnsi="Arial" w:cs="Arial"/>
          <w:sz w:val="24"/>
          <w:szCs w:val="24"/>
        </w:rPr>
        <w:lastRenderedPageBreak/>
        <w:t xml:space="preserve">seismic excitation, </w:t>
      </w:r>
      <w:proofErr w:type="spellStart"/>
      <w:r w:rsidRPr="00780D2B">
        <w:rPr>
          <w:rFonts w:ascii="Arial" w:eastAsia="Arial" w:hAnsi="Arial" w:cs="Arial"/>
          <w:i/>
          <w:iCs/>
          <w:sz w:val="24"/>
          <w:szCs w:val="24"/>
        </w:rPr>
        <w:t>Earthq</w:t>
      </w:r>
      <w:proofErr w:type="spellEnd"/>
      <w:r w:rsidRPr="00780D2B">
        <w:rPr>
          <w:rFonts w:ascii="Arial" w:eastAsia="Arial" w:hAnsi="Arial" w:cs="Arial"/>
          <w:i/>
          <w:iCs/>
          <w:sz w:val="24"/>
          <w:szCs w:val="24"/>
        </w:rPr>
        <w:t xml:space="preserve"> </w:t>
      </w:r>
      <w:proofErr w:type="spellStart"/>
      <w:r w:rsidRPr="00780D2B">
        <w:rPr>
          <w:rFonts w:ascii="Arial" w:eastAsia="Arial" w:hAnsi="Arial" w:cs="Arial"/>
          <w:i/>
          <w:iCs/>
          <w:sz w:val="24"/>
          <w:szCs w:val="24"/>
        </w:rPr>
        <w:t>Engng</w:t>
      </w:r>
      <w:proofErr w:type="spellEnd"/>
      <w:r w:rsidRPr="00780D2B">
        <w:rPr>
          <w:rFonts w:ascii="Arial" w:eastAsia="Arial" w:hAnsi="Arial" w:cs="Arial"/>
          <w:i/>
          <w:iCs/>
          <w:sz w:val="24"/>
          <w:szCs w:val="24"/>
        </w:rPr>
        <w:t xml:space="preserve"> Struct Dyn</w:t>
      </w:r>
      <w:r w:rsidRPr="00780D2B">
        <w:rPr>
          <w:rFonts w:ascii="Arial" w:eastAsia="Arial" w:hAnsi="Arial" w:cs="Arial"/>
          <w:sz w:val="24"/>
          <w:szCs w:val="24"/>
        </w:rPr>
        <w:t xml:space="preserve"> </w:t>
      </w:r>
      <w:r w:rsidRPr="00780D2B">
        <w:rPr>
          <w:rFonts w:ascii="Arial" w:eastAsia="Arial" w:hAnsi="Arial" w:cs="Arial"/>
          <w:b/>
          <w:bCs/>
          <w:sz w:val="24"/>
          <w:szCs w:val="24"/>
        </w:rPr>
        <w:t>52</w:t>
      </w:r>
      <w:r w:rsidRPr="00780D2B">
        <w:rPr>
          <w:rFonts w:ascii="Arial" w:eastAsia="Arial" w:hAnsi="Arial" w:cs="Arial"/>
          <w:sz w:val="24"/>
          <w:szCs w:val="24"/>
        </w:rPr>
        <w:t xml:space="preserve">, no. 8, 2554–2571, </w:t>
      </w:r>
      <w:proofErr w:type="spellStart"/>
      <w:r w:rsidRPr="00780D2B">
        <w:rPr>
          <w:rFonts w:ascii="Arial" w:eastAsia="Arial" w:hAnsi="Arial" w:cs="Arial"/>
          <w:sz w:val="24"/>
          <w:szCs w:val="24"/>
        </w:rPr>
        <w:t>doi</w:t>
      </w:r>
      <w:proofErr w:type="spellEnd"/>
      <w:r w:rsidRPr="00780D2B">
        <w:rPr>
          <w:rFonts w:ascii="Arial" w:eastAsia="Arial" w:hAnsi="Arial" w:cs="Arial"/>
          <w:sz w:val="24"/>
          <w:szCs w:val="24"/>
        </w:rPr>
        <w:t>:</w:t>
      </w:r>
      <w:hyperlink r:id="rId49">
        <w:r w:rsidR="007D17B2" w:rsidRPr="00780D2B">
          <w:rPr>
            <w:rFonts w:ascii="Arial" w:eastAsia="Arial" w:hAnsi="Arial" w:cs="Arial"/>
            <w:sz w:val="24"/>
            <w:szCs w:val="24"/>
          </w:rPr>
          <w:t xml:space="preserve"> </w:t>
        </w:r>
      </w:hyperlink>
      <w:hyperlink r:id="rId50">
        <w:r w:rsidR="007D17B2" w:rsidRPr="00780D2B">
          <w:rPr>
            <w:rFonts w:ascii="Arial" w:eastAsia="Arial" w:hAnsi="Arial" w:cs="Arial"/>
            <w:color w:val="1155CC"/>
            <w:sz w:val="24"/>
            <w:szCs w:val="24"/>
            <w:u w:val="single"/>
          </w:rPr>
          <w:t>10.1002/eqe.3856</w:t>
        </w:r>
      </w:hyperlink>
      <w:r w:rsidRPr="00780D2B">
        <w:rPr>
          <w:rFonts w:ascii="Arial" w:eastAsia="Arial" w:hAnsi="Arial" w:cs="Arial"/>
          <w:sz w:val="24"/>
          <w:szCs w:val="24"/>
        </w:rPr>
        <w:t>.</w:t>
      </w:r>
    </w:p>
    <w:p w14:paraId="2A983128" w14:textId="77777777" w:rsidR="007D17B2" w:rsidRPr="00780D2B" w:rsidRDefault="00000000">
      <w:pPr>
        <w:spacing w:before="240" w:after="120" w:line="480" w:lineRule="auto"/>
        <w:jc w:val="both"/>
        <w:rPr>
          <w:rFonts w:ascii="Arial" w:eastAsia="Arial" w:hAnsi="Arial" w:cs="Arial"/>
          <w:sz w:val="24"/>
          <w:szCs w:val="24"/>
        </w:rPr>
      </w:pPr>
      <w:r w:rsidRPr="00780D2B">
        <w:rPr>
          <w:rFonts w:ascii="Arial" w:eastAsia="Arial" w:hAnsi="Arial" w:cs="Arial"/>
          <w:sz w:val="24"/>
          <w:szCs w:val="24"/>
        </w:rPr>
        <w:t xml:space="preserve">Clinton, J. F., S. C. Bradford, T. H. Heaton, and J. Favela (2006). The Observed Wander of the Natural Frequencies in a Structure, </w:t>
      </w:r>
      <w:r w:rsidRPr="00780D2B">
        <w:rPr>
          <w:rFonts w:ascii="Arial" w:eastAsia="Arial" w:hAnsi="Arial" w:cs="Arial"/>
          <w:i/>
          <w:iCs/>
          <w:sz w:val="24"/>
          <w:szCs w:val="24"/>
        </w:rPr>
        <w:t>Bulletin of the Seismological Society of America</w:t>
      </w:r>
      <w:r w:rsidRPr="00780D2B">
        <w:rPr>
          <w:rFonts w:ascii="Arial" w:eastAsia="Arial" w:hAnsi="Arial" w:cs="Arial"/>
          <w:sz w:val="24"/>
          <w:szCs w:val="24"/>
        </w:rPr>
        <w:t xml:space="preserve"> </w:t>
      </w:r>
      <w:r w:rsidRPr="00780D2B">
        <w:rPr>
          <w:rFonts w:ascii="Arial" w:eastAsia="Arial" w:hAnsi="Arial" w:cs="Arial"/>
          <w:b/>
          <w:bCs/>
          <w:sz w:val="24"/>
          <w:szCs w:val="24"/>
        </w:rPr>
        <w:t>96</w:t>
      </w:r>
      <w:r w:rsidRPr="00780D2B">
        <w:rPr>
          <w:rFonts w:ascii="Arial" w:eastAsia="Arial" w:hAnsi="Arial" w:cs="Arial"/>
          <w:sz w:val="24"/>
          <w:szCs w:val="24"/>
        </w:rPr>
        <w:t xml:space="preserve">, no. 1, 237–257, </w:t>
      </w:r>
      <w:proofErr w:type="spellStart"/>
      <w:r w:rsidRPr="00780D2B">
        <w:rPr>
          <w:rFonts w:ascii="Arial" w:eastAsia="Arial" w:hAnsi="Arial" w:cs="Arial"/>
          <w:sz w:val="24"/>
          <w:szCs w:val="24"/>
        </w:rPr>
        <w:t>doi</w:t>
      </w:r>
      <w:proofErr w:type="spellEnd"/>
      <w:r w:rsidRPr="00780D2B">
        <w:rPr>
          <w:rFonts w:ascii="Arial" w:eastAsia="Arial" w:hAnsi="Arial" w:cs="Arial"/>
          <w:sz w:val="24"/>
          <w:szCs w:val="24"/>
        </w:rPr>
        <w:t>:</w:t>
      </w:r>
      <w:hyperlink r:id="rId51">
        <w:r w:rsidR="007D17B2" w:rsidRPr="00780D2B">
          <w:rPr>
            <w:rFonts w:ascii="Arial" w:eastAsia="Arial" w:hAnsi="Arial" w:cs="Arial"/>
            <w:sz w:val="24"/>
            <w:szCs w:val="24"/>
          </w:rPr>
          <w:t xml:space="preserve"> </w:t>
        </w:r>
      </w:hyperlink>
      <w:hyperlink r:id="rId52">
        <w:r w:rsidR="007D17B2" w:rsidRPr="00780D2B">
          <w:rPr>
            <w:rFonts w:ascii="Arial" w:eastAsia="Arial" w:hAnsi="Arial" w:cs="Arial"/>
            <w:color w:val="1155CC"/>
            <w:sz w:val="24"/>
            <w:szCs w:val="24"/>
            <w:u w:val="single"/>
          </w:rPr>
          <w:t>10.1785/0120050052</w:t>
        </w:r>
      </w:hyperlink>
      <w:r w:rsidRPr="00780D2B">
        <w:rPr>
          <w:rFonts w:ascii="Arial" w:eastAsia="Arial" w:hAnsi="Arial" w:cs="Arial"/>
          <w:sz w:val="24"/>
          <w:szCs w:val="24"/>
        </w:rPr>
        <w:t>.</w:t>
      </w:r>
    </w:p>
    <w:p w14:paraId="2BA28E25" w14:textId="7380BFC1" w:rsidR="007D17B2" w:rsidRPr="00780D2B" w:rsidRDefault="00000000">
      <w:pPr>
        <w:spacing w:line="360" w:lineRule="auto"/>
        <w:jc w:val="both"/>
        <w:rPr>
          <w:rFonts w:ascii="Arial" w:eastAsia="Arial" w:hAnsi="Arial" w:cs="Arial"/>
          <w:sz w:val="24"/>
          <w:szCs w:val="24"/>
          <w:lang w:val="en-US"/>
        </w:rPr>
      </w:pPr>
      <w:r w:rsidRPr="00780D2B">
        <w:rPr>
          <w:rFonts w:ascii="Arial" w:eastAsia="Arial" w:hAnsi="Arial" w:cs="Arial"/>
          <w:sz w:val="24"/>
          <w:szCs w:val="24"/>
        </w:rPr>
        <w:t xml:space="preserve">Cruz, C., and E. Miranda (2019). Reliability of damping ratios inferred from the seismic response of buildings, </w:t>
      </w:r>
      <w:r w:rsidRPr="00780D2B">
        <w:rPr>
          <w:rFonts w:ascii="Arial" w:eastAsia="Arial" w:hAnsi="Arial" w:cs="Arial"/>
          <w:i/>
          <w:iCs/>
          <w:sz w:val="24"/>
          <w:szCs w:val="24"/>
        </w:rPr>
        <w:t>Engineering Structures</w:t>
      </w:r>
      <w:r w:rsidRPr="00780D2B">
        <w:rPr>
          <w:rFonts w:ascii="Arial" w:eastAsia="Arial" w:hAnsi="Arial" w:cs="Arial"/>
          <w:sz w:val="24"/>
          <w:szCs w:val="24"/>
        </w:rPr>
        <w:t xml:space="preserve"> </w:t>
      </w:r>
      <w:r w:rsidRPr="00780D2B">
        <w:rPr>
          <w:rFonts w:ascii="Arial" w:eastAsia="Arial" w:hAnsi="Arial" w:cs="Arial"/>
          <w:b/>
          <w:bCs/>
          <w:sz w:val="24"/>
          <w:szCs w:val="24"/>
        </w:rPr>
        <w:t>184</w:t>
      </w:r>
      <w:r w:rsidRPr="00780D2B">
        <w:rPr>
          <w:rFonts w:ascii="Arial" w:eastAsia="Arial" w:hAnsi="Arial" w:cs="Arial"/>
          <w:sz w:val="24"/>
          <w:szCs w:val="24"/>
        </w:rPr>
        <w:t xml:space="preserve">, 355–368, </w:t>
      </w:r>
      <w:proofErr w:type="spellStart"/>
      <w:r w:rsidRPr="00780D2B">
        <w:rPr>
          <w:rFonts w:ascii="Arial" w:eastAsia="Arial" w:hAnsi="Arial" w:cs="Arial"/>
          <w:sz w:val="24"/>
          <w:szCs w:val="24"/>
        </w:rPr>
        <w:t>doi</w:t>
      </w:r>
      <w:proofErr w:type="spellEnd"/>
      <w:r w:rsidRPr="00780D2B">
        <w:rPr>
          <w:rFonts w:ascii="Arial" w:eastAsia="Arial" w:hAnsi="Arial" w:cs="Arial"/>
          <w:sz w:val="24"/>
          <w:szCs w:val="24"/>
        </w:rPr>
        <w:t xml:space="preserve">: </w:t>
      </w:r>
      <w:hyperlink r:id="rId53" w:history="1">
        <w:r w:rsidR="007D17B2" w:rsidRPr="00780D2B">
          <w:rPr>
            <w:rStyle w:val="Collegamentoipertestuale"/>
            <w:rFonts w:ascii="Arial" w:eastAsia="Arial" w:hAnsi="Arial" w:cs="Arial"/>
            <w:color w:val="1155CC"/>
            <w:sz w:val="24"/>
            <w:szCs w:val="24"/>
          </w:rPr>
          <w:t>10.1016/j.engstruct.2019.01.056</w:t>
        </w:r>
      </w:hyperlink>
      <w:r w:rsidR="002C4EE6" w:rsidRPr="00780D2B">
        <w:rPr>
          <w:rFonts w:ascii="Arial" w:eastAsia="Arial" w:hAnsi="Arial" w:cs="Arial"/>
          <w:sz w:val="24"/>
          <w:szCs w:val="24"/>
          <w:lang w:val="en-US"/>
        </w:rPr>
        <w:t>.</w:t>
      </w:r>
      <w:r w:rsidRPr="00780D2B">
        <w:rPr>
          <w:rFonts w:ascii="Arial" w:eastAsia="Arial" w:hAnsi="Arial" w:cs="Arial"/>
          <w:sz w:val="24"/>
          <w:szCs w:val="24"/>
          <w:lang w:val="en-US"/>
        </w:rPr>
        <w:t xml:space="preserve">      </w:t>
      </w:r>
    </w:p>
    <w:p w14:paraId="1633E747" w14:textId="77777777" w:rsidR="007D17B2" w:rsidRPr="00780D2B" w:rsidRDefault="00000000">
      <w:pPr>
        <w:spacing w:line="360" w:lineRule="auto"/>
        <w:jc w:val="both"/>
        <w:rPr>
          <w:rFonts w:ascii="Arial" w:eastAsia="Arial" w:hAnsi="Arial" w:cs="Arial"/>
          <w:sz w:val="24"/>
          <w:szCs w:val="24"/>
        </w:rPr>
      </w:pPr>
      <w:r w:rsidRPr="00780D2B">
        <w:rPr>
          <w:rFonts w:ascii="Arial" w:eastAsia="Arial" w:hAnsi="Arial" w:cs="Arial"/>
          <w:sz w:val="24"/>
          <w:szCs w:val="24"/>
          <w:lang w:val="it-IT"/>
        </w:rPr>
        <w:t xml:space="preserve">Ditommaso, R., M. Mucciarelli, S. Parolai, and M. Picozzi (2012). </w:t>
      </w:r>
      <w:r w:rsidRPr="00780D2B">
        <w:rPr>
          <w:rFonts w:ascii="Arial" w:eastAsia="Arial" w:hAnsi="Arial" w:cs="Arial"/>
          <w:sz w:val="24"/>
          <w:szCs w:val="24"/>
        </w:rPr>
        <w:t xml:space="preserve">Monitoring the structural dynamic response of a masonry tower: comparing classical and time-frequency analyses, </w:t>
      </w:r>
      <w:r w:rsidRPr="00780D2B">
        <w:rPr>
          <w:rFonts w:ascii="Arial" w:eastAsia="Arial" w:hAnsi="Arial" w:cs="Arial"/>
          <w:i/>
          <w:iCs/>
          <w:sz w:val="24"/>
          <w:szCs w:val="24"/>
        </w:rPr>
        <w:t>Bull Earthquake Eng</w:t>
      </w:r>
      <w:r w:rsidRPr="00780D2B">
        <w:rPr>
          <w:rFonts w:ascii="Arial" w:eastAsia="Arial" w:hAnsi="Arial" w:cs="Arial"/>
          <w:sz w:val="24"/>
          <w:szCs w:val="24"/>
        </w:rPr>
        <w:t xml:space="preserve"> </w:t>
      </w:r>
      <w:r w:rsidRPr="00780D2B">
        <w:rPr>
          <w:rFonts w:ascii="Arial" w:eastAsia="Arial" w:hAnsi="Arial" w:cs="Arial"/>
          <w:b/>
          <w:bCs/>
          <w:sz w:val="24"/>
          <w:szCs w:val="24"/>
        </w:rPr>
        <w:t>10</w:t>
      </w:r>
      <w:r w:rsidRPr="00780D2B">
        <w:rPr>
          <w:rFonts w:ascii="Arial" w:eastAsia="Arial" w:hAnsi="Arial" w:cs="Arial"/>
          <w:sz w:val="24"/>
          <w:szCs w:val="24"/>
        </w:rPr>
        <w:t xml:space="preserve">, no. 4, 1221–1235, </w:t>
      </w:r>
      <w:proofErr w:type="spellStart"/>
      <w:r w:rsidRPr="00780D2B">
        <w:rPr>
          <w:rFonts w:ascii="Arial" w:eastAsia="Arial" w:hAnsi="Arial" w:cs="Arial"/>
          <w:sz w:val="24"/>
          <w:szCs w:val="24"/>
        </w:rPr>
        <w:t>doi</w:t>
      </w:r>
      <w:proofErr w:type="spellEnd"/>
      <w:r w:rsidRPr="00780D2B">
        <w:rPr>
          <w:rFonts w:ascii="Arial" w:eastAsia="Arial" w:hAnsi="Arial" w:cs="Arial"/>
          <w:sz w:val="24"/>
          <w:szCs w:val="24"/>
        </w:rPr>
        <w:t>:</w:t>
      </w:r>
      <w:hyperlink r:id="rId54">
        <w:r w:rsidR="007D17B2" w:rsidRPr="00780D2B">
          <w:rPr>
            <w:rFonts w:ascii="Arial" w:eastAsia="Arial" w:hAnsi="Arial" w:cs="Arial"/>
            <w:sz w:val="24"/>
            <w:szCs w:val="24"/>
          </w:rPr>
          <w:t xml:space="preserve"> </w:t>
        </w:r>
      </w:hyperlink>
      <w:hyperlink r:id="rId55">
        <w:r w:rsidR="007D17B2" w:rsidRPr="00780D2B">
          <w:rPr>
            <w:rFonts w:ascii="Arial" w:eastAsia="Arial" w:hAnsi="Arial" w:cs="Arial"/>
            <w:color w:val="1155CC"/>
            <w:sz w:val="24"/>
            <w:szCs w:val="24"/>
            <w:u w:val="single"/>
          </w:rPr>
          <w:t>10.1007/s10518-012-9347-x</w:t>
        </w:r>
      </w:hyperlink>
      <w:r w:rsidRPr="00780D2B">
        <w:rPr>
          <w:rFonts w:ascii="Arial" w:eastAsia="Arial" w:hAnsi="Arial" w:cs="Arial"/>
          <w:sz w:val="24"/>
          <w:szCs w:val="24"/>
        </w:rPr>
        <w:t>.</w:t>
      </w:r>
    </w:p>
    <w:p w14:paraId="603C4D5B" w14:textId="77777777" w:rsidR="007D17B2" w:rsidRPr="00780D2B" w:rsidRDefault="00000000">
      <w:pPr>
        <w:spacing w:before="240" w:after="120" w:line="480" w:lineRule="auto"/>
        <w:jc w:val="both"/>
        <w:rPr>
          <w:rFonts w:ascii="Arial" w:eastAsia="Arial" w:hAnsi="Arial" w:cs="Arial"/>
          <w:sz w:val="24"/>
          <w:szCs w:val="24"/>
        </w:rPr>
      </w:pPr>
      <w:r w:rsidRPr="00780D2B">
        <w:rPr>
          <w:rFonts w:ascii="Arial" w:eastAsia="Arial" w:hAnsi="Arial" w:cs="Arial"/>
          <w:sz w:val="24"/>
          <w:szCs w:val="24"/>
          <w:lang w:val="it-IT"/>
        </w:rPr>
        <w:t xml:space="preserve">Gallo, A., G. Costa, and P. </w:t>
      </w:r>
      <w:proofErr w:type="spellStart"/>
      <w:r w:rsidRPr="00780D2B">
        <w:rPr>
          <w:rFonts w:ascii="Arial" w:eastAsia="Arial" w:hAnsi="Arial" w:cs="Arial"/>
          <w:sz w:val="24"/>
          <w:szCs w:val="24"/>
          <w:lang w:val="it-IT"/>
        </w:rPr>
        <w:t>Suhadolc</w:t>
      </w:r>
      <w:proofErr w:type="spellEnd"/>
      <w:r w:rsidRPr="00780D2B">
        <w:rPr>
          <w:rFonts w:ascii="Arial" w:eastAsia="Arial" w:hAnsi="Arial" w:cs="Arial"/>
          <w:sz w:val="24"/>
          <w:szCs w:val="24"/>
          <w:lang w:val="it-IT"/>
        </w:rPr>
        <w:t xml:space="preserve"> (2014). </w:t>
      </w:r>
      <w:r w:rsidRPr="00780D2B">
        <w:rPr>
          <w:rFonts w:ascii="Arial" w:eastAsia="Arial" w:hAnsi="Arial" w:cs="Arial"/>
          <w:sz w:val="24"/>
          <w:szCs w:val="24"/>
        </w:rPr>
        <w:t xml:space="preserve">Near real-time automatic moment magnitude estimation, </w:t>
      </w:r>
      <w:r w:rsidRPr="00780D2B">
        <w:rPr>
          <w:rFonts w:ascii="Arial" w:eastAsia="Arial" w:hAnsi="Arial" w:cs="Arial"/>
          <w:i/>
          <w:iCs/>
          <w:sz w:val="24"/>
          <w:szCs w:val="24"/>
        </w:rPr>
        <w:t>Bull Earthquake Eng</w:t>
      </w:r>
      <w:r w:rsidRPr="00780D2B">
        <w:rPr>
          <w:rFonts w:ascii="Arial" w:eastAsia="Arial" w:hAnsi="Arial" w:cs="Arial"/>
          <w:sz w:val="24"/>
          <w:szCs w:val="24"/>
        </w:rPr>
        <w:t xml:space="preserve"> </w:t>
      </w:r>
      <w:r w:rsidRPr="00780D2B">
        <w:rPr>
          <w:rFonts w:ascii="Arial" w:eastAsia="Arial" w:hAnsi="Arial" w:cs="Arial"/>
          <w:b/>
          <w:bCs/>
          <w:sz w:val="24"/>
          <w:szCs w:val="24"/>
        </w:rPr>
        <w:t>12</w:t>
      </w:r>
      <w:r w:rsidRPr="00780D2B">
        <w:rPr>
          <w:rFonts w:ascii="Arial" w:eastAsia="Arial" w:hAnsi="Arial" w:cs="Arial"/>
          <w:sz w:val="24"/>
          <w:szCs w:val="24"/>
        </w:rPr>
        <w:t xml:space="preserve">, no. 1, 185–202, </w:t>
      </w:r>
      <w:proofErr w:type="spellStart"/>
      <w:r w:rsidRPr="00780D2B">
        <w:rPr>
          <w:rFonts w:ascii="Arial" w:eastAsia="Arial" w:hAnsi="Arial" w:cs="Arial"/>
          <w:sz w:val="24"/>
          <w:szCs w:val="24"/>
        </w:rPr>
        <w:t>doi</w:t>
      </w:r>
      <w:proofErr w:type="spellEnd"/>
      <w:r w:rsidRPr="00780D2B">
        <w:rPr>
          <w:rFonts w:ascii="Arial" w:eastAsia="Arial" w:hAnsi="Arial" w:cs="Arial"/>
          <w:sz w:val="24"/>
          <w:szCs w:val="24"/>
        </w:rPr>
        <w:t>:</w:t>
      </w:r>
      <w:hyperlink r:id="rId56">
        <w:r w:rsidR="007D17B2" w:rsidRPr="00780D2B">
          <w:rPr>
            <w:rFonts w:ascii="Arial" w:eastAsia="Arial" w:hAnsi="Arial" w:cs="Arial"/>
            <w:sz w:val="24"/>
            <w:szCs w:val="24"/>
          </w:rPr>
          <w:t xml:space="preserve"> </w:t>
        </w:r>
      </w:hyperlink>
      <w:hyperlink r:id="rId57">
        <w:r w:rsidR="007D17B2" w:rsidRPr="00780D2B">
          <w:rPr>
            <w:rFonts w:ascii="Arial" w:eastAsia="Arial" w:hAnsi="Arial" w:cs="Arial"/>
            <w:color w:val="1155CC"/>
            <w:sz w:val="24"/>
            <w:szCs w:val="24"/>
            <w:u w:val="single"/>
          </w:rPr>
          <w:t>10.1007/s10518-013-9565-x</w:t>
        </w:r>
      </w:hyperlink>
      <w:r w:rsidRPr="00780D2B">
        <w:rPr>
          <w:rFonts w:ascii="Arial" w:eastAsia="Arial" w:hAnsi="Arial" w:cs="Arial"/>
          <w:sz w:val="24"/>
          <w:szCs w:val="24"/>
        </w:rPr>
        <w:t>.</w:t>
      </w:r>
    </w:p>
    <w:p w14:paraId="04708F9A" w14:textId="77777777" w:rsidR="007D17B2" w:rsidRPr="00780D2B" w:rsidRDefault="00000000">
      <w:pPr>
        <w:spacing w:before="240" w:after="120" w:line="480" w:lineRule="auto"/>
        <w:jc w:val="both"/>
        <w:rPr>
          <w:rFonts w:ascii="Arial" w:eastAsia="Arial" w:hAnsi="Arial" w:cs="Arial"/>
          <w:sz w:val="24"/>
          <w:szCs w:val="24"/>
        </w:rPr>
      </w:pPr>
      <w:r w:rsidRPr="00780D2B">
        <w:rPr>
          <w:rFonts w:ascii="Arial" w:eastAsia="Arial" w:hAnsi="Arial" w:cs="Arial"/>
          <w:sz w:val="24"/>
          <w:szCs w:val="24"/>
          <w:lang w:val="fr-FR"/>
        </w:rPr>
        <w:t xml:space="preserve">Guéguen, P., A. Astorga, and M. Langlais (2023). </w:t>
      </w:r>
      <w:r w:rsidRPr="00780D2B">
        <w:rPr>
          <w:rFonts w:ascii="Arial" w:eastAsia="Arial" w:hAnsi="Arial" w:cs="Arial"/>
          <w:sz w:val="24"/>
          <w:szCs w:val="24"/>
        </w:rPr>
        <w:t xml:space="preserve">Amplitude–Frequency Noise Models for Seismic Building Monitoring in a Weak-to-Moderate Seismic Region, </w:t>
      </w:r>
      <w:r w:rsidRPr="00780D2B">
        <w:rPr>
          <w:rFonts w:ascii="Arial" w:eastAsia="Arial" w:hAnsi="Arial" w:cs="Arial"/>
          <w:i/>
          <w:iCs/>
          <w:sz w:val="24"/>
          <w:szCs w:val="24"/>
        </w:rPr>
        <w:t>Seismological Research Letters</w:t>
      </w:r>
      <w:r w:rsidRPr="00780D2B">
        <w:rPr>
          <w:rFonts w:ascii="Arial" w:eastAsia="Arial" w:hAnsi="Arial" w:cs="Arial"/>
          <w:sz w:val="24"/>
          <w:szCs w:val="24"/>
        </w:rPr>
        <w:t xml:space="preserve"> </w:t>
      </w:r>
      <w:r w:rsidRPr="00780D2B">
        <w:rPr>
          <w:rFonts w:ascii="Arial" w:eastAsia="Arial" w:hAnsi="Arial" w:cs="Arial"/>
          <w:b/>
          <w:bCs/>
          <w:sz w:val="24"/>
          <w:szCs w:val="24"/>
        </w:rPr>
        <w:t>94</w:t>
      </w:r>
      <w:r w:rsidRPr="00780D2B">
        <w:rPr>
          <w:rFonts w:ascii="Arial" w:eastAsia="Arial" w:hAnsi="Arial" w:cs="Arial"/>
          <w:sz w:val="24"/>
          <w:szCs w:val="24"/>
        </w:rPr>
        <w:t xml:space="preserve">, no. 5, 2231–2243, </w:t>
      </w:r>
      <w:proofErr w:type="spellStart"/>
      <w:r w:rsidRPr="00780D2B">
        <w:rPr>
          <w:rFonts w:ascii="Arial" w:eastAsia="Arial" w:hAnsi="Arial" w:cs="Arial"/>
          <w:sz w:val="24"/>
          <w:szCs w:val="24"/>
        </w:rPr>
        <w:t>doi</w:t>
      </w:r>
      <w:proofErr w:type="spellEnd"/>
      <w:r w:rsidRPr="00780D2B">
        <w:rPr>
          <w:rFonts w:ascii="Arial" w:eastAsia="Arial" w:hAnsi="Arial" w:cs="Arial"/>
          <w:sz w:val="24"/>
          <w:szCs w:val="24"/>
        </w:rPr>
        <w:t>:</w:t>
      </w:r>
      <w:hyperlink r:id="rId58">
        <w:r w:rsidR="007D17B2" w:rsidRPr="00780D2B">
          <w:rPr>
            <w:rFonts w:ascii="Arial" w:eastAsia="Arial" w:hAnsi="Arial" w:cs="Arial"/>
            <w:sz w:val="24"/>
            <w:szCs w:val="24"/>
          </w:rPr>
          <w:t xml:space="preserve"> </w:t>
        </w:r>
      </w:hyperlink>
      <w:hyperlink r:id="rId59">
        <w:r w:rsidR="007D17B2" w:rsidRPr="00780D2B">
          <w:rPr>
            <w:rFonts w:ascii="Arial" w:eastAsia="Arial" w:hAnsi="Arial" w:cs="Arial"/>
            <w:color w:val="1155CC"/>
            <w:sz w:val="24"/>
            <w:szCs w:val="24"/>
            <w:u w:val="single"/>
          </w:rPr>
          <w:t>10.1785/0220230009</w:t>
        </w:r>
      </w:hyperlink>
      <w:r w:rsidRPr="00780D2B">
        <w:rPr>
          <w:rFonts w:ascii="Arial" w:eastAsia="Arial" w:hAnsi="Arial" w:cs="Arial"/>
          <w:sz w:val="24"/>
          <w:szCs w:val="24"/>
        </w:rPr>
        <w:t>.</w:t>
      </w:r>
    </w:p>
    <w:p w14:paraId="6D41BDDE" w14:textId="77777777" w:rsidR="007D17B2" w:rsidRPr="00780D2B" w:rsidRDefault="00000000">
      <w:pPr>
        <w:spacing w:before="240" w:after="120" w:line="480" w:lineRule="auto"/>
        <w:jc w:val="both"/>
        <w:rPr>
          <w:rFonts w:ascii="Arial" w:eastAsia="Arial" w:hAnsi="Arial" w:cs="Arial"/>
          <w:sz w:val="24"/>
          <w:szCs w:val="24"/>
        </w:rPr>
      </w:pPr>
      <w:r w:rsidRPr="00780D2B">
        <w:rPr>
          <w:rFonts w:ascii="Arial" w:eastAsia="Arial" w:hAnsi="Arial" w:cs="Arial"/>
          <w:sz w:val="24"/>
          <w:szCs w:val="24"/>
        </w:rPr>
        <w:t xml:space="preserve">Gueguen, P., P.-Y. Bard, and F. J. Chávez-Garcia (2002). Site-City Seismic Interaction in Mexico City-Like Environments: An Analytical Study, </w:t>
      </w:r>
      <w:r w:rsidRPr="00780D2B">
        <w:rPr>
          <w:rFonts w:ascii="Arial" w:eastAsia="Arial" w:hAnsi="Arial" w:cs="Arial"/>
          <w:i/>
          <w:iCs/>
          <w:sz w:val="24"/>
          <w:szCs w:val="24"/>
        </w:rPr>
        <w:t>Bulletin of the Seismological Society of America</w:t>
      </w:r>
      <w:r w:rsidRPr="00780D2B">
        <w:rPr>
          <w:rFonts w:ascii="Arial" w:eastAsia="Arial" w:hAnsi="Arial" w:cs="Arial"/>
          <w:sz w:val="24"/>
          <w:szCs w:val="24"/>
        </w:rPr>
        <w:t xml:space="preserve"> </w:t>
      </w:r>
      <w:r w:rsidRPr="00780D2B">
        <w:rPr>
          <w:rFonts w:ascii="Arial" w:eastAsia="Arial" w:hAnsi="Arial" w:cs="Arial"/>
          <w:b/>
          <w:bCs/>
          <w:sz w:val="24"/>
          <w:szCs w:val="24"/>
        </w:rPr>
        <w:t>92</w:t>
      </w:r>
      <w:r w:rsidRPr="00780D2B">
        <w:rPr>
          <w:rFonts w:ascii="Arial" w:eastAsia="Arial" w:hAnsi="Arial" w:cs="Arial"/>
          <w:sz w:val="24"/>
          <w:szCs w:val="24"/>
        </w:rPr>
        <w:t xml:space="preserve">, no. 2, 794–811, </w:t>
      </w:r>
      <w:proofErr w:type="spellStart"/>
      <w:r w:rsidRPr="00780D2B">
        <w:rPr>
          <w:rFonts w:ascii="Arial" w:eastAsia="Arial" w:hAnsi="Arial" w:cs="Arial"/>
          <w:sz w:val="24"/>
          <w:szCs w:val="24"/>
        </w:rPr>
        <w:t>doi</w:t>
      </w:r>
      <w:proofErr w:type="spellEnd"/>
      <w:r w:rsidRPr="00780D2B">
        <w:rPr>
          <w:rFonts w:ascii="Arial" w:eastAsia="Arial" w:hAnsi="Arial" w:cs="Arial"/>
          <w:sz w:val="24"/>
          <w:szCs w:val="24"/>
        </w:rPr>
        <w:t>:</w:t>
      </w:r>
      <w:hyperlink r:id="rId60">
        <w:r w:rsidR="007D17B2" w:rsidRPr="00780D2B">
          <w:rPr>
            <w:rFonts w:ascii="Arial" w:eastAsia="Arial" w:hAnsi="Arial" w:cs="Arial"/>
            <w:sz w:val="24"/>
            <w:szCs w:val="24"/>
          </w:rPr>
          <w:t xml:space="preserve"> </w:t>
        </w:r>
      </w:hyperlink>
      <w:hyperlink r:id="rId61">
        <w:r w:rsidR="007D17B2" w:rsidRPr="00780D2B">
          <w:rPr>
            <w:rFonts w:ascii="Arial" w:eastAsia="Arial" w:hAnsi="Arial" w:cs="Arial"/>
            <w:color w:val="1155CC"/>
            <w:sz w:val="24"/>
            <w:szCs w:val="24"/>
            <w:u w:val="single"/>
          </w:rPr>
          <w:t>10.1785/0120000306</w:t>
        </w:r>
      </w:hyperlink>
      <w:r w:rsidRPr="00780D2B">
        <w:rPr>
          <w:rFonts w:ascii="Arial" w:eastAsia="Arial" w:hAnsi="Arial" w:cs="Arial"/>
          <w:sz w:val="24"/>
          <w:szCs w:val="24"/>
        </w:rPr>
        <w:t>.</w:t>
      </w:r>
    </w:p>
    <w:p w14:paraId="0E1DCCF6" w14:textId="77777777" w:rsidR="007D17B2" w:rsidRPr="00780D2B" w:rsidRDefault="00000000">
      <w:pPr>
        <w:spacing w:before="240" w:after="120" w:line="480" w:lineRule="auto"/>
        <w:jc w:val="both"/>
        <w:rPr>
          <w:rFonts w:ascii="Arial" w:eastAsia="Arial" w:hAnsi="Arial" w:cs="Arial"/>
          <w:sz w:val="24"/>
          <w:szCs w:val="24"/>
        </w:rPr>
      </w:pPr>
      <w:r w:rsidRPr="00780D2B">
        <w:rPr>
          <w:rFonts w:ascii="Arial" w:eastAsia="Arial" w:hAnsi="Arial" w:cs="Arial"/>
          <w:sz w:val="24"/>
          <w:szCs w:val="24"/>
        </w:rPr>
        <w:t xml:space="preserve">Gueguen, P., P.-Y. Bard, and C. S. Oliveira (2000). Experimental and Numerical Analysis of Soil Motions Caused by Free Vibrations of a Building Model, </w:t>
      </w:r>
      <w:r w:rsidRPr="00780D2B">
        <w:rPr>
          <w:rFonts w:ascii="Arial" w:eastAsia="Arial" w:hAnsi="Arial" w:cs="Arial"/>
          <w:i/>
          <w:iCs/>
          <w:sz w:val="24"/>
          <w:szCs w:val="24"/>
        </w:rPr>
        <w:t>Bulletin of the Seismological Society of America</w:t>
      </w:r>
      <w:r w:rsidRPr="00780D2B">
        <w:rPr>
          <w:rFonts w:ascii="Arial" w:eastAsia="Arial" w:hAnsi="Arial" w:cs="Arial"/>
          <w:sz w:val="24"/>
          <w:szCs w:val="24"/>
        </w:rPr>
        <w:t xml:space="preserve"> </w:t>
      </w:r>
      <w:r w:rsidRPr="00780D2B">
        <w:rPr>
          <w:rFonts w:ascii="Arial" w:eastAsia="Arial" w:hAnsi="Arial" w:cs="Arial"/>
          <w:b/>
          <w:bCs/>
          <w:sz w:val="24"/>
          <w:szCs w:val="24"/>
        </w:rPr>
        <w:t>90</w:t>
      </w:r>
      <w:r w:rsidRPr="00780D2B">
        <w:rPr>
          <w:rFonts w:ascii="Arial" w:eastAsia="Arial" w:hAnsi="Arial" w:cs="Arial"/>
          <w:sz w:val="24"/>
          <w:szCs w:val="24"/>
        </w:rPr>
        <w:t xml:space="preserve">, no. 6, 1464–1479, </w:t>
      </w:r>
      <w:proofErr w:type="spellStart"/>
      <w:r w:rsidRPr="00780D2B">
        <w:rPr>
          <w:rFonts w:ascii="Arial" w:eastAsia="Arial" w:hAnsi="Arial" w:cs="Arial"/>
          <w:sz w:val="24"/>
          <w:szCs w:val="24"/>
        </w:rPr>
        <w:t>doi</w:t>
      </w:r>
      <w:proofErr w:type="spellEnd"/>
      <w:r w:rsidRPr="00780D2B">
        <w:rPr>
          <w:rFonts w:ascii="Arial" w:eastAsia="Arial" w:hAnsi="Arial" w:cs="Arial"/>
          <w:sz w:val="24"/>
          <w:szCs w:val="24"/>
        </w:rPr>
        <w:t>:</w:t>
      </w:r>
      <w:hyperlink r:id="rId62">
        <w:r w:rsidR="007D17B2" w:rsidRPr="00780D2B">
          <w:rPr>
            <w:rFonts w:ascii="Arial" w:eastAsia="Arial" w:hAnsi="Arial" w:cs="Arial"/>
            <w:sz w:val="24"/>
            <w:szCs w:val="24"/>
          </w:rPr>
          <w:t xml:space="preserve"> </w:t>
        </w:r>
      </w:hyperlink>
      <w:hyperlink r:id="rId63">
        <w:r w:rsidR="007D17B2" w:rsidRPr="00780D2B">
          <w:rPr>
            <w:rFonts w:ascii="Arial" w:eastAsia="Arial" w:hAnsi="Arial" w:cs="Arial"/>
            <w:color w:val="1155CC"/>
            <w:sz w:val="24"/>
            <w:szCs w:val="24"/>
            <w:u w:val="single"/>
          </w:rPr>
          <w:t>10.1785/0119990072</w:t>
        </w:r>
      </w:hyperlink>
      <w:r w:rsidRPr="00780D2B">
        <w:rPr>
          <w:rFonts w:ascii="Arial" w:eastAsia="Arial" w:hAnsi="Arial" w:cs="Arial"/>
          <w:sz w:val="24"/>
          <w:szCs w:val="24"/>
        </w:rPr>
        <w:t>.</w:t>
      </w:r>
    </w:p>
    <w:p w14:paraId="284CAEA5" w14:textId="77777777" w:rsidR="007D17B2" w:rsidRPr="00780D2B" w:rsidRDefault="00000000">
      <w:pPr>
        <w:spacing w:before="240" w:after="120" w:line="480" w:lineRule="auto"/>
        <w:jc w:val="both"/>
        <w:rPr>
          <w:rFonts w:ascii="Arial" w:eastAsia="Arial" w:hAnsi="Arial" w:cs="Arial"/>
          <w:sz w:val="24"/>
          <w:szCs w:val="24"/>
        </w:rPr>
      </w:pPr>
      <w:r w:rsidRPr="00780D2B">
        <w:rPr>
          <w:rFonts w:ascii="Arial" w:eastAsia="Arial" w:hAnsi="Arial" w:cs="Arial"/>
          <w:sz w:val="24"/>
          <w:szCs w:val="24"/>
        </w:rPr>
        <w:lastRenderedPageBreak/>
        <w:t xml:space="preserve">Helmholtz-Centre Potsdam-GFZ German Research Centre For Geosciences and GEMPA GmbH (2008). The </w:t>
      </w:r>
      <w:proofErr w:type="spellStart"/>
      <w:r w:rsidRPr="00780D2B">
        <w:rPr>
          <w:rFonts w:ascii="Arial" w:eastAsia="Arial" w:hAnsi="Arial" w:cs="Arial"/>
          <w:sz w:val="24"/>
          <w:szCs w:val="24"/>
        </w:rPr>
        <w:t>SeisComP</w:t>
      </w:r>
      <w:proofErr w:type="spellEnd"/>
      <w:r w:rsidRPr="00780D2B">
        <w:rPr>
          <w:rFonts w:ascii="Arial" w:eastAsia="Arial" w:hAnsi="Arial" w:cs="Arial"/>
          <w:sz w:val="24"/>
          <w:szCs w:val="24"/>
        </w:rPr>
        <w:t xml:space="preserve"> seismological software package, GFZ Data Services, </w:t>
      </w:r>
      <w:proofErr w:type="spellStart"/>
      <w:r w:rsidRPr="00780D2B">
        <w:rPr>
          <w:rFonts w:ascii="Arial" w:eastAsia="Arial" w:hAnsi="Arial" w:cs="Arial"/>
          <w:sz w:val="24"/>
          <w:szCs w:val="24"/>
        </w:rPr>
        <w:t>doi</w:t>
      </w:r>
      <w:proofErr w:type="spellEnd"/>
      <w:r w:rsidRPr="00780D2B">
        <w:rPr>
          <w:rFonts w:ascii="Arial" w:eastAsia="Arial" w:hAnsi="Arial" w:cs="Arial"/>
          <w:sz w:val="24"/>
          <w:szCs w:val="24"/>
        </w:rPr>
        <w:t>:</w:t>
      </w:r>
      <w:hyperlink r:id="rId64">
        <w:r w:rsidR="007D17B2" w:rsidRPr="00780D2B">
          <w:rPr>
            <w:rFonts w:ascii="Arial" w:eastAsia="Arial" w:hAnsi="Arial" w:cs="Arial"/>
            <w:sz w:val="24"/>
            <w:szCs w:val="24"/>
          </w:rPr>
          <w:t xml:space="preserve"> </w:t>
        </w:r>
      </w:hyperlink>
      <w:hyperlink r:id="rId65">
        <w:r w:rsidR="007D17B2" w:rsidRPr="00780D2B">
          <w:rPr>
            <w:rFonts w:ascii="Arial" w:eastAsia="Arial" w:hAnsi="Arial" w:cs="Arial"/>
            <w:color w:val="1155CC"/>
            <w:sz w:val="24"/>
            <w:szCs w:val="24"/>
            <w:u w:val="single"/>
          </w:rPr>
          <w:t>10.5880/GFZ.2.4.2020.003</w:t>
        </w:r>
      </w:hyperlink>
      <w:r w:rsidRPr="00780D2B">
        <w:rPr>
          <w:rFonts w:ascii="Arial" w:eastAsia="Arial" w:hAnsi="Arial" w:cs="Arial"/>
          <w:sz w:val="24"/>
          <w:szCs w:val="24"/>
        </w:rPr>
        <w:t>.</w:t>
      </w:r>
    </w:p>
    <w:p w14:paraId="20D4A90A" w14:textId="77777777" w:rsidR="007D17B2" w:rsidRPr="00780D2B" w:rsidRDefault="00000000">
      <w:pPr>
        <w:spacing w:before="240" w:after="120" w:line="480" w:lineRule="auto"/>
        <w:jc w:val="both"/>
        <w:rPr>
          <w:rFonts w:ascii="Arial" w:eastAsia="Arial" w:hAnsi="Arial" w:cs="Arial"/>
          <w:sz w:val="24"/>
          <w:szCs w:val="24"/>
        </w:rPr>
      </w:pPr>
      <w:r w:rsidRPr="00780D2B">
        <w:rPr>
          <w:rFonts w:ascii="Arial" w:eastAsia="Arial" w:hAnsi="Arial" w:cs="Arial"/>
          <w:sz w:val="24"/>
          <w:szCs w:val="24"/>
        </w:rPr>
        <w:t xml:space="preserve">Herak, M., and D. Herak (2010). Continuous monitoring of dynamic parameters of the DGFSM building (Zagreb, Croatia), </w:t>
      </w:r>
      <w:r w:rsidRPr="00780D2B">
        <w:rPr>
          <w:rFonts w:ascii="Arial" w:eastAsia="Arial" w:hAnsi="Arial" w:cs="Arial"/>
          <w:i/>
          <w:iCs/>
          <w:sz w:val="24"/>
          <w:szCs w:val="24"/>
        </w:rPr>
        <w:t>Bull Earthquake Eng</w:t>
      </w:r>
      <w:r w:rsidRPr="00780D2B">
        <w:rPr>
          <w:rFonts w:ascii="Arial" w:eastAsia="Arial" w:hAnsi="Arial" w:cs="Arial"/>
          <w:sz w:val="24"/>
          <w:szCs w:val="24"/>
        </w:rPr>
        <w:t xml:space="preserve"> </w:t>
      </w:r>
      <w:r w:rsidRPr="00780D2B">
        <w:rPr>
          <w:rFonts w:ascii="Arial" w:eastAsia="Arial" w:hAnsi="Arial" w:cs="Arial"/>
          <w:b/>
          <w:bCs/>
          <w:sz w:val="24"/>
          <w:szCs w:val="24"/>
        </w:rPr>
        <w:t>8</w:t>
      </w:r>
      <w:r w:rsidRPr="00780D2B">
        <w:rPr>
          <w:rFonts w:ascii="Arial" w:eastAsia="Arial" w:hAnsi="Arial" w:cs="Arial"/>
          <w:sz w:val="24"/>
          <w:szCs w:val="24"/>
        </w:rPr>
        <w:t xml:space="preserve">, no. 3, 657–669, </w:t>
      </w:r>
      <w:proofErr w:type="spellStart"/>
      <w:r w:rsidRPr="00780D2B">
        <w:rPr>
          <w:rFonts w:ascii="Arial" w:eastAsia="Arial" w:hAnsi="Arial" w:cs="Arial"/>
          <w:sz w:val="24"/>
          <w:szCs w:val="24"/>
        </w:rPr>
        <w:t>doi</w:t>
      </w:r>
      <w:proofErr w:type="spellEnd"/>
      <w:r w:rsidRPr="00780D2B">
        <w:rPr>
          <w:rFonts w:ascii="Arial" w:eastAsia="Arial" w:hAnsi="Arial" w:cs="Arial"/>
          <w:sz w:val="24"/>
          <w:szCs w:val="24"/>
        </w:rPr>
        <w:t>:</w:t>
      </w:r>
      <w:hyperlink r:id="rId66">
        <w:r w:rsidR="007D17B2" w:rsidRPr="00780D2B">
          <w:rPr>
            <w:rFonts w:ascii="Arial" w:eastAsia="Arial" w:hAnsi="Arial" w:cs="Arial"/>
            <w:sz w:val="24"/>
            <w:szCs w:val="24"/>
          </w:rPr>
          <w:t xml:space="preserve"> </w:t>
        </w:r>
      </w:hyperlink>
      <w:hyperlink r:id="rId67">
        <w:r w:rsidR="007D17B2" w:rsidRPr="00780D2B">
          <w:rPr>
            <w:rFonts w:ascii="Arial" w:eastAsia="Arial" w:hAnsi="Arial" w:cs="Arial"/>
            <w:color w:val="1155CC"/>
            <w:sz w:val="24"/>
            <w:szCs w:val="24"/>
            <w:u w:val="single"/>
          </w:rPr>
          <w:t>10.1007/s10518-009-9112-y</w:t>
        </w:r>
      </w:hyperlink>
      <w:r w:rsidRPr="00780D2B">
        <w:rPr>
          <w:rFonts w:ascii="Arial" w:eastAsia="Arial" w:hAnsi="Arial" w:cs="Arial"/>
          <w:sz w:val="24"/>
          <w:szCs w:val="24"/>
        </w:rPr>
        <w:t>.</w:t>
      </w:r>
    </w:p>
    <w:p w14:paraId="1965A7D9" w14:textId="77777777" w:rsidR="007D17B2" w:rsidRPr="00780D2B" w:rsidRDefault="00000000">
      <w:pPr>
        <w:spacing w:before="240" w:after="120" w:line="480" w:lineRule="auto"/>
        <w:jc w:val="both"/>
        <w:rPr>
          <w:rFonts w:ascii="Arial" w:eastAsia="Arial" w:hAnsi="Arial" w:cs="Arial"/>
          <w:sz w:val="24"/>
          <w:szCs w:val="24"/>
        </w:rPr>
      </w:pPr>
      <w:r w:rsidRPr="00780D2B">
        <w:rPr>
          <w:rFonts w:ascii="Arial" w:eastAsia="Arial" w:hAnsi="Arial" w:cs="Arial"/>
          <w:sz w:val="24"/>
          <w:szCs w:val="24"/>
          <w:lang w:val="fr-FR"/>
        </w:rPr>
        <w:t xml:space="preserve">Hunter, J. D. (2007). </w:t>
      </w:r>
      <w:proofErr w:type="spellStart"/>
      <w:r w:rsidRPr="00780D2B">
        <w:rPr>
          <w:rFonts w:ascii="Arial" w:eastAsia="Arial" w:hAnsi="Arial" w:cs="Arial"/>
          <w:sz w:val="24"/>
          <w:szCs w:val="24"/>
          <w:lang w:val="fr-FR"/>
        </w:rPr>
        <w:t>Matplotlib</w:t>
      </w:r>
      <w:proofErr w:type="spellEnd"/>
      <w:r w:rsidRPr="00780D2B">
        <w:rPr>
          <w:rFonts w:ascii="Arial" w:eastAsia="Arial" w:hAnsi="Arial" w:cs="Arial"/>
          <w:sz w:val="24"/>
          <w:szCs w:val="24"/>
          <w:lang w:val="fr-FR"/>
        </w:rPr>
        <w:t xml:space="preserve">: A 2D Graphics </w:t>
      </w:r>
      <w:proofErr w:type="spellStart"/>
      <w:r w:rsidRPr="00780D2B">
        <w:rPr>
          <w:rFonts w:ascii="Arial" w:eastAsia="Arial" w:hAnsi="Arial" w:cs="Arial"/>
          <w:sz w:val="24"/>
          <w:szCs w:val="24"/>
          <w:lang w:val="fr-FR"/>
        </w:rPr>
        <w:t>Environment</w:t>
      </w:r>
      <w:proofErr w:type="spellEnd"/>
      <w:r w:rsidRPr="00780D2B">
        <w:rPr>
          <w:rFonts w:ascii="Arial" w:eastAsia="Arial" w:hAnsi="Arial" w:cs="Arial"/>
          <w:sz w:val="24"/>
          <w:szCs w:val="24"/>
          <w:lang w:val="fr-FR"/>
        </w:rPr>
        <w:t xml:space="preserve">, </w:t>
      </w:r>
      <w:r w:rsidRPr="00780D2B">
        <w:rPr>
          <w:rFonts w:ascii="Arial" w:eastAsia="Arial" w:hAnsi="Arial" w:cs="Arial"/>
          <w:i/>
          <w:iCs/>
          <w:sz w:val="24"/>
          <w:szCs w:val="24"/>
          <w:lang w:val="fr-FR"/>
        </w:rPr>
        <w:t xml:space="preserve">Comput. </w:t>
      </w:r>
      <w:r w:rsidRPr="00780D2B">
        <w:rPr>
          <w:rFonts w:ascii="Arial" w:eastAsia="Arial" w:hAnsi="Arial" w:cs="Arial"/>
          <w:i/>
          <w:iCs/>
          <w:sz w:val="24"/>
          <w:szCs w:val="24"/>
        </w:rPr>
        <w:t>Sci. Eng.</w:t>
      </w:r>
      <w:r w:rsidRPr="00780D2B">
        <w:rPr>
          <w:rFonts w:ascii="Arial" w:eastAsia="Arial" w:hAnsi="Arial" w:cs="Arial"/>
          <w:sz w:val="24"/>
          <w:szCs w:val="24"/>
        </w:rPr>
        <w:t xml:space="preserve"> </w:t>
      </w:r>
      <w:r w:rsidRPr="00780D2B">
        <w:rPr>
          <w:rFonts w:ascii="Arial" w:eastAsia="Arial" w:hAnsi="Arial" w:cs="Arial"/>
          <w:b/>
          <w:bCs/>
          <w:sz w:val="24"/>
          <w:szCs w:val="24"/>
        </w:rPr>
        <w:t>9</w:t>
      </w:r>
      <w:r w:rsidRPr="00780D2B">
        <w:rPr>
          <w:rFonts w:ascii="Arial" w:eastAsia="Arial" w:hAnsi="Arial" w:cs="Arial"/>
          <w:sz w:val="24"/>
          <w:szCs w:val="24"/>
        </w:rPr>
        <w:t xml:space="preserve">, no. 3, 90–95, </w:t>
      </w:r>
      <w:proofErr w:type="spellStart"/>
      <w:r w:rsidRPr="00780D2B">
        <w:rPr>
          <w:rFonts w:ascii="Arial" w:eastAsia="Arial" w:hAnsi="Arial" w:cs="Arial"/>
          <w:sz w:val="24"/>
          <w:szCs w:val="24"/>
        </w:rPr>
        <w:t>doi</w:t>
      </w:r>
      <w:proofErr w:type="spellEnd"/>
      <w:r w:rsidRPr="00780D2B">
        <w:rPr>
          <w:rFonts w:ascii="Arial" w:eastAsia="Arial" w:hAnsi="Arial" w:cs="Arial"/>
          <w:sz w:val="24"/>
          <w:szCs w:val="24"/>
        </w:rPr>
        <w:t>:</w:t>
      </w:r>
      <w:hyperlink r:id="rId68">
        <w:r w:rsidR="007D17B2" w:rsidRPr="00780D2B">
          <w:rPr>
            <w:rFonts w:ascii="Arial" w:eastAsia="Arial" w:hAnsi="Arial" w:cs="Arial"/>
            <w:sz w:val="24"/>
            <w:szCs w:val="24"/>
          </w:rPr>
          <w:t xml:space="preserve"> </w:t>
        </w:r>
      </w:hyperlink>
      <w:hyperlink r:id="rId69">
        <w:r w:rsidR="007D17B2" w:rsidRPr="00780D2B">
          <w:rPr>
            <w:rFonts w:ascii="Arial" w:eastAsia="Arial" w:hAnsi="Arial" w:cs="Arial"/>
            <w:color w:val="1155CC"/>
            <w:sz w:val="24"/>
            <w:szCs w:val="24"/>
            <w:u w:val="single"/>
          </w:rPr>
          <w:t>10.1109/MCSE.2007.55</w:t>
        </w:r>
      </w:hyperlink>
      <w:r w:rsidRPr="00780D2B">
        <w:rPr>
          <w:rFonts w:ascii="Arial" w:eastAsia="Arial" w:hAnsi="Arial" w:cs="Arial"/>
          <w:sz w:val="24"/>
          <w:szCs w:val="24"/>
        </w:rPr>
        <w:t>.</w:t>
      </w:r>
    </w:p>
    <w:p w14:paraId="6BE4E0AF" w14:textId="77777777" w:rsidR="007D17B2" w:rsidRPr="00780D2B" w:rsidRDefault="00000000">
      <w:pPr>
        <w:spacing w:before="240" w:after="120" w:line="480" w:lineRule="auto"/>
        <w:jc w:val="both"/>
        <w:rPr>
          <w:rFonts w:ascii="Arial" w:eastAsia="Arial" w:hAnsi="Arial" w:cs="Arial"/>
          <w:sz w:val="24"/>
          <w:szCs w:val="24"/>
        </w:rPr>
      </w:pPr>
      <w:proofErr w:type="spellStart"/>
      <w:r w:rsidRPr="00780D2B">
        <w:rPr>
          <w:rFonts w:ascii="Arial" w:eastAsia="Arial" w:hAnsi="Arial" w:cs="Arial"/>
          <w:sz w:val="24"/>
          <w:szCs w:val="24"/>
        </w:rPr>
        <w:t>Isbiliroglu</w:t>
      </w:r>
      <w:proofErr w:type="spellEnd"/>
      <w:r w:rsidRPr="00780D2B">
        <w:rPr>
          <w:rFonts w:ascii="Arial" w:eastAsia="Arial" w:hAnsi="Arial" w:cs="Arial"/>
          <w:sz w:val="24"/>
          <w:szCs w:val="24"/>
        </w:rPr>
        <w:t xml:space="preserve">, Y., R. Taborda, and J. Bielak (2015). Coupled Soil-Structure Interaction Effects of Building Clusters during Earthquakes, </w:t>
      </w:r>
      <w:r w:rsidRPr="00780D2B">
        <w:rPr>
          <w:rFonts w:ascii="Arial" w:eastAsia="Arial" w:hAnsi="Arial" w:cs="Arial"/>
          <w:i/>
          <w:iCs/>
          <w:sz w:val="24"/>
          <w:szCs w:val="24"/>
        </w:rPr>
        <w:t>Earthquake Spectra</w:t>
      </w:r>
      <w:r w:rsidRPr="00780D2B">
        <w:rPr>
          <w:rFonts w:ascii="Arial" w:eastAsia="Arial" w:hAnsi="Arial" w:cs="Arial"/>
          <w:sz w:val="24"/>
          <w:szCs w:val="24"/>
        </w:rPr>
        <w:t xml:space="preserve"> </w:t>
      </w:r>
      <w:r w:rsidRPr="00780D2B">
        <w:rPr>
          <w:rFonts w:ascii="Arial" w:eastAsia="Arial" w:hAnsi="Arial" w:cs="Arial"/>
          <w:b/>
          <w:bCs/>
          <w:sz w:val="24"/>
          <w:szCs w:val="24"/>
        </w:rPr>
        <w:t>31</w:t>
      </w:r>
      <w:r w:rsidRPr="00780D2B">
        <w:rPr>
          <w:rFonts w:ascii="Arial" w:eastAsia="Arial" w:hAnsi="Arial" w:cs="Arial"/>
          <w:sz w:val="24"/>
          <w:szCs w:val="24"/>
        </w:rPr>
        <w:t xml:space="preserve">, no. 1, 463–500, </w:t>
      </w:r>
      <w:proofErr w:type="spellStart"/>
      <w:r w:rsidRPr="00780D2B">
        <w:rPr>
          <w:rFonts w:ascii="Arial" w:eastAsia="Arial" w:hAnsi="Arial" w:cs="Arial"/>
          <w:sz w:val="24"/>
          <w:szCs w:val="24"/>
        </w:rPr>
        <w:t>doi</w:t>
      </w:r>
      <w:proofErr w:type="spellEnd"/>
      <w:r w:rsidRPr="00780D2B">
        <w:rPr>
          <w:rFonts w:ascii="Arial" w:eastAsia="Arial" w:hAnsi="Arial" w:cs="Arial"/>
          <w:sz w:val="24"/>
          <w:szCs w:val="24"/>
        </w:rPr>
        <w:t>:</w:t>
      </w:r>
      <w:hyperlink r:id="rId70">
        <w:r w:rsidR="007D17B2" w:rsidRPr="00780D2B">
          <w:rPr>
            <w:rFonts w:ascii="Arial" w:eastAsia="Arial" w:hAnsi="Arial" w:cs="Arial"/>
            <w:sz w:val="24"/>
            <w:szCs w:val="24"/>
          </w:rPr>
          <w:t xml:space="preserve"> </w:t>
        </w:r>
      </w:hyperlink>
      <w:hyperlink r:id="rId71">
        <w:r w:rsidR="007D17B2" w:rsidRPr="00780D2B">
          <w:rPr>
            <w:rFonts w:ascii="Arial" w:eastAsia="Arial" w:hAnsi="Arial" w:cs="Arial"/>
            <w:color w:val="1155CC"/>
            <w:sz w:val="24"/>
            <w:szCs w:val="24"/>
            <w:u w:val="single"/>
          </w:rPr>
          <w:t>10.1193/102412EQS315M</w:t>
        </w:r>
      </w:hyperlink>
      <w:r w:rsidRPr="00780D2B">
        <w:rPr>
          <w:rFonts w:ascii="Arial" w:eastAsia="Arial" w:hAnsi="Arial" w:cs="Arial"/>
          <w:sz w:val="24"/>
          <w:szCs w:val="24"/>
        </w:rPr>
        <w:t>.</w:t>
      </w:r>
    </w:p>
    <w:p w14:paraId="468C83E6" w14:textId="77777777" w:rsidR="007D17B2" w:rsidRPr="00780D2B" w:rsidRDefault="00000000">
      <w:pPr>
        <w:spacing w:before="240" w:after="120" w:line="480" w:lineRule="auto"/>
        <w:jc w:val="both"/>
        <w:rPr>
          <w:rFonts w:ascii="Arial" w:eastAsia="Arial" w:hAnsi="Arial" w:cs="Arial"/>
          <w:sz w:val="24"/>
          <w:szCs w:val="24"/>
        </w:rPr>
      </w:pPr>
      <w:r w:rsidRPr="00780D2B">
        <w:rPr>
          <w:rFonts w:ascii="Arial" w:eastAsia="Arial" w:hAnsi="Arial" w:cs="Arial"/>
          <w:sz w:val="24"/>
          <w:szCs w:val="24"/>
        </w:rPr>
        <w:t xml:space="preserve">ISIDe Working Group (2007). Italian Seismological Instrumental and Parametric Database (ISIDe), Istituto Nazionale di </w:t>
      </w:r>
      <w:proofErr w:type="spellStart"/>
      <w:r w:rsidRPr="00780D2B">
        <w:rPr>
          <w:rFonts w:ascii="Arial" w:eastAsia="Arial" w:hAnsi="Arial" w:cs="Arial"/>
          <w:sz w:val="24"/>
          <w:szCs w:val="24"/>
        </w:rPr>
        <w:t>Geofisica</w:t>
      </w:r>
      <w:proofErr w:type="spellEnd"/>
      <w:r w:rsidRPr="00780D2B">
        <w:rPr>
          <w:rFonts w:ascii="Arial" w:eastAsia="Arial" w:hAnsi="Arial" w:cs="Arial"/>
          <w:sz w:val="24"/>
          <w:szCs w:val="24"/>
        </w:rPr>
        <w:t xml:space="preserve"> e </w:t>
      </w:r>
      <w:proofErr w:type="spellStart"/>
      <w:r w:rsidRPr="00780D2B">
        <w:rPr>
          <w:rFonts w:ascii="Arial" w:eastAsia="Arial" w:hAnsi="Arial" w:cs="Arial"/>
          <w:sz w:val="24"/>
          <w:szCs w:val="24"/>
        </w:rPr>
        <w:t>Vulcanologia</w:t>
      </w:r>
      <w:proofErr w:type="spellEnd"/>
      <w:r w:rsidRPr="00780D2B">
        <w:rPr>
          <w:rFonts w:ascii="Arial" w:eastAsia="Arial" w:hAnsi="Arial" w:cs="Arial"/>
          <w:sz w:val="24"/>
          <w:szCs w:val="24"/>
        </w:rPr>
        <w:t xml:space="preserve"> (INGV), 366000 earthquakes, 500 stations, </w:t>
      </w:r>
      <w:proofErr w:type="spellStart"/>
      <w:r w:rsidRPr="00780D2B">
        <w:rPr>
          <w:rFonts w:ascii="Arial" w:eastAsia="Arial" w:hAnsi="Arial" w:cs="Arial"/>
          <w:sz w:val="24"/>
          <w:szCs w:val="24"/>
        </w:rPr>
        <w:t>doi</w:t>
      </w:r>
      <w:proofErr w:type="spellEnd"/>
      <w:r w:rsidRPr="00780D2B">
        <w:rPr>
          <w:rFonts w:ascii="Arial" w:eastAsia="Arial" w:hAnsi="Arial" w:cs="Arial"/>
          <w:sz w:val="24"/>
          <w:szCs w:val="24"/>
        </w:rPr>
        <w:t>:</w:t>
      </w:r>
      <w:hyperlink r:id="rId72">
        <w:r w:rsidR="007D17B2" w:rsidRPr="00780D2B">
          <w:rPr>
            <w:rFonts w:ascii="Arial" w:eastAsia="Arial" w:hAnsi="Arial" w:cs="Arial"/>
            <w:sz w:val="24"/>
            <w:szCs w:val="24"/>
          </w:rPr>
          <w:t xml:space="preserve"> </w:t>
        </w:r>
      </w:hyperlink>
      <w:hyperlink r:id="rId73">
        <w:r w:rsidR="007D17B2" w:rsidRPr="00780D2B">
          <w:rPr>
            <w:rFonts w:ascii="Arial" w:eastAsia="Arial" w:hAnsi="Arial" w:cs="Arial"/>
            <w:color w:val="1155CC"/>
            <w:sz w:val="24"/>
            <w:szCs w:val="24"/>
            <w:u w:val="single"/>
          </w:rPr>
          <w:t>10.13127/ISIDE</w:t>
        </w:r>
      </w:hyperlink>
      <w:r w:rsidRPr="00780D2B">
        <w:rPr>
          <w:rFonts w:ascii="Arial" w:eastAsia="Arial" w:hAnsi="Arial" w:cs="Arial"/>
          <w:sz w:val="24"/>
          <w:szCs w:val="24"/>
        </w:rPr>
        <w:t>.</w:t>
      </w:r>
    </w:p>
    <w:p w14:paraId="17ACDECE" w14:textId="77777777" w:rsidR="007D17B2" w:rsidRPr="00780D2B" w:rsidRDefault="00000000">
      <w:pPr>
        <w:spacing w:before="240" w:after="120" w:line="480" w:lineRule="auto"/>
        <w:jc w:val="both"/>
        <w:rPr>
          <w:rFonts w:ascii="Arial" w:eastAsia="Arial" w:hAnsi="Arial" w:cs="Arial"/>
          <w:sz w:val="24"/>
          <w:szCs w:val="24"/>
        </w:rPr>
      </w:pPr>
      <w:r w:rsidRPr="00780D2B">
        <w:rPr>
          <w:rFonts w:ascii="Arial" w:eastAsia="Arial" w:hAnsi="Arial" w:cs="Arial"/>
          <w:sz w:val="24"/>
          <w:szCs w:val="24"/>
          <w:lang w:val="it-IT"/>
        </w:rPr>
        <w:t xml:space="preserve">Istituto Nazionale di Oceanografia e di Geofisica Sperimentale - OGS (2016). </w:t>
      </w:r>
      <w:r w:rsidRPr="00780D2B">
        <w:rPr>
          <w:rFonts w:ascii="Arial" w:eastAsia="Arial" w:hAnsi="Arial" w:cs="Arial"/>
          <w:sz w:val="24"/>
          <w:szCs w:val="24"/>
        </w:rPr>
        <w:t xml:space="preserve">North-East Italy Seismic Network, FDSN, </w:t>
      </w:r>
      <w:proofErr w:type="spellStart"/>
      <w:r w:rsidRPr="00780D2B">
        <w:rPr>
          <w:rFonts w:ascii="Arial" w:eastAsia="Arial" w:hAnsi="Arial" w:cs="Arial"/>
          <w:sz w:val="24"/>
          <w:szCs w:val="24"/>
        </w:rPr>
        <w:t>doi</w:t>
      </w:r>
      <w:proofErr w:type="spellEnd"/>
      <w:r w:rsidRPr="00780D2B">
        <w:rPr>
          <w:rFonts w:ascii="Arial" w:eastAsia="Arial" w:hAnsi="Arial" w:cs="Arial"/>
          <w:sz w:val="24"/>
          <w:szCs w:val="24"/>
        </w:rPr>
        <w:t>:</w:t>
      </w:r>
      <w:hyperlink r:id="rId74">
        <w:r w:rsidR="007D17B2" w:rsidRPr="00780D2B">
          <w:rPr>
            <w:rFonts w:ascii="Arial" w:eastAsia="Arial" w:hAnsi="Arial" w:cs="Arial"/>
            <w:sz w:val="24"/>
            <w:szCs w:val="24"/>
          </w:rPr>
          <w:t xml:space="preserve"> </w:t>
        </w:r>
      </w:hyperlink>
      <w:hyperlink r:id="rId75">
        <w:r w:rsidR="007D17B2" w:rsidRPr="00780D2B">
          <w:rPr>
            <w:rFonts w:ascii="Arial" w:eastAsia="Arial" w:hAnsi="Arial" w:cs="Arial"/>
            <w:color w:val="1155CC"/>
            <w:sz w:val="24"/>
            <w:szCs w:val="24"/>
            <w:u w:val="single"/>
          </w:rPr>
          <w:t>10.7914/SN/OX</w:t>
        </w:r>
      </w:hyperlink>
      <w:r w:rsidRPr="00780D2B">
        <w:rPr>
          <w:rFonts w:ascii="Arial" w:eastAsia="Arial" w:hAnsi="Arial" w:cs="Arial"/>
          <w:sz w:val="24"/>
          <w:szCs w:val="24"/>
        </w:rPr>
        <w:t>.</w:t>
      </w:r>
    </w:p>
    <w:p w14:paraId="5DEC4CEA" w14:textId="77777777" w:rsidR="007D17B2" w:rsidRPr="00780D2B" w:rsidRDefault="00000000">
      <w:pPr>
        <w:spacing w:before="240" w:after="120" w:line="480" w:lineRule="auto"/>
        <w:jc w:val="both"/>
        <w:rPr>
          <w:rFonts w:ascii="Arial" w:eastAsia="Arial" w:hAnsi="Arial" w:cs="Arial"/>
          <w:sz w:val="24"/>
          <w:szCs w:val="24"/>
        </w:rPr>
      </w:pPr>
      <w:r w:rsidRPr="00780D2B">
        <w:rPr>
          <w:rFonts w:ascii="Arial" w:eastAsia="Arial" w:hAnsi="Arial" w:cs="Arial"/>
          <w:sz w:val="24"/>
          <w:szCs w:val="24"/>
        </w:rPr>
        <w:t xml:space="preserve">Jennings, P. C. (1970). Distant motions from a building vibration test, </w:t>
      </w:r>
      <w:r w:rsidRPr="00780D2B">
        <w:rPr>
          <w:rFonts w:ascii="Arial" w:eastAsia="Arial" w:hAnsi="Arial" w:cs="Arial"/>
          <w:i/>
          <w:iCs/>
          <w:sz w:val="24"/>
          <w:szCs w:val="24"/>
        </w:rPr>
        <w:t>Bulletin of the Seismological Society of America</w:t>
      </w:r>
      <w:r w:rsidRPr="00780D2B">
        <w:rPr>
          <w:rFonts w:ascii="Arial" w:eastAsia="Arial" w:hAnsi="Arial" w:cs="Arial"/>
          <w:sz w:val="24"/>
          <w:szCs w:val="24"/>
        </w:rPr>
        <w:t xml:space="preserve"> </w:t>
      </w:r>
      <w:r w:rsidRPr="00780D2B">
        <w:rPr>
          <w:rFonts w:ascii="Arial" w:eastAsia="Arial" w:hAnsi="Arial" w:cs="Arial"/>
          <w:b/>
          <w:bCs/>
          <w:sz w:val="24"/>
          <w:szCs w:val="24"/>
        </w:rPr>
        <w:t>60</w:t>
      </w:r>
      <w:r w:rsidRPr="00780D2B">
        <w:rPr>
          <w:rFonts w:ascii="Arial" w:eastAsia="Arial" w:hAnsi="Arial" w:cs="Arial"/>
          <w:sz w:val="24"/>
          <w:szCs w:val="24"/>
        </w:rPr>
        <w:t xml:space="preserve">, no. 6, 2037–2043, </w:t>
      </w:r>
      <w:proofErr w:type="spellStart"/>
      <w:r w:rsidRPr="00780D2B">
        <w:rPr>
          <w:rFonts w:ascii="Arial" w:eastAsia="Arial" w:hAnsi="Arial" w:cs="Arial"/>
          <w:sz w:val="24"/>
          <w:szCs w:val="24"/>
        </w:rPr>
        <w:t>doi</w:t>
      </w:r>
      <w:proofErr w:type="spellEnd"/>
      <w:r w:rsidRPr="00780D2B">
        <w:rPr>
          <w:rFonts w:ascii="Arial" w:eastAsia="Arial" w:hAnsi="Arial" w:cs="Arial"/>
          <w:sz w:val="24"/>
          <w:szCs w:val="24"/>
        </w:rPr>
        <w:t>:</w:t>
      </w:r>
      <w:hyperlink r:id="rId76">
        <w:r w:rsidR="007D17B2" w:rsidRPr="00780D2B">
          <w:rPr>
            <w:rFonts w:ascii="Arial" w:eastAsia="Arial" w:hAnsi="Arial" w:cs="Arial"/>
            <w:sz w:val="24"/>
            <w:szCs w:val="24"/>
          </w:rPr>
          <w:t xml:space="preserve"> </w:t>
        </w:r>
      </w:hyperlink>
      <w:hyperlink r:id="rId77">
        <w:r w:rsidR="007D17B2" w:rsidRPr="00780D2B">
          <w:rPr>
            <w:rFonts w:ascii="Arial" w:eastAsia="Arial" w:hAnsi="Arial" w:cs="Arial"/>
            <w:color w:val="1155CC"/>
            <w:sz w:val="24"/>
            <w:szCs w:val="24"/>
            <w:u w:val="single"/>
          </w:rPr>
          <w:t>10.1785/BSSA0600062037</w:t>
        </w:r>
      </w:hyperlink>
      <w:r w:rsidRPr="00780D2B">
        <w:rPr>
          <w:rFonts w:ascii="Arial" w:eastAsia="Arial" w:hAnsi="Arial" w:cs="Arial"/>
          <w:sz w:val="24"/>
          <w:szCs w:val="24"/>
        </w:rPr>
        <w:t>.</w:t>
      </w:r>
    </w:p>
    <w:p w14:paraId="4D4FA32B" w14:textId="77777777" w:rsidR="007D17B2" w:rsidRPr="00780D2B" w:rsidRDefault="00000000">
      <w:pPr>
        <w:spacing w:before="240" w:after="120" w:line="480" w:lineRule="auto"/>
        <w:jc w:val="both"/>
        <w:rPr>
          <w:rFonts w:ascii="Arial" w:eastAsia="Arial" w:hAnsi="Arial" w:cs="Arial"/>
          <w:sz w:val="24"/>
          <w:szCs w:val="24"/>
        </w:rPr>
      </w:pPr>
      <w:r w:rsidRPr="00780D2B">
        <w:rPr>
          <w:rFonts w:ascii="Arial" w:eastAsia="Arial" w:hAnsi="Arial" w:cs="Arial"/>
          <w:sz w:val="24"/>
          <w:szCs w:val="24"/>
          <w:lang w:val="de-DE"/>
        </w:rPr>
        <w:lastRenderedPageBreak/>
        <w:t xml:space="preserve">Kennett, B. L. N., and E. R. Engdahl (1991). </w:t>
      </w:r>
      <w:proofErr w:type="spellStart"/>
      <w:r w:rsidRPr="00780D2B">
        <w:rPr>
          <w:rFonts w:ascii="Arial" w:eastAsia="Arial" w:hAnsi="Arial" w:cs="Arial"/>
          <w:sz w:val="24"/>
          <w:szCs w:val="24"/>
        </w:rPr>
        <w:t>Traveltimes</w:t>
      </w:r>
      <w:proofErr w:type="spellEnd"/>
      <w:r w:rsidRPr="00780D2B">
        <w:rPr>
          <w:rFonts w:ascii="Arial" w:eastAsia="Arial" w:hAnsi="Arial" w:cs="Arial"/>
          <w:sz w:val="24"/>
          <w:szCs w:val="24"/>
        </w:rPr>
        <w:t xml:space="preserve"> for global earthquake location and phase identification, </w:t>
      </w:r>
      <w:r w:rsidRPr="00780D2B">
        <w:rPr>
          <w:rFonts w:ascii="Arial" w:eastAsia="Arial" w:hAnsi="Arial" w:cs="Arial"/>
          <w:i/>
          <w:iCs/>
          <w:sz w:val="24"/>
          <w:szCs w:val="24"/>
        </w:rPr>
        <w:t>Geophysical Journal International</w:t>
      </w:r>
      <w:r w:rsidRPr="00780D2B">
        <w:rPr>
          <w:rFonts w:ascii="Arial" w:eastAsia="Arial" w:hAnsi="Arial" w:cs="Arial"/>
          <w:sz w:val="24"/>
          <w:szCs w:val="24"/>
        </w:rPr>
        <w:t xml:space="preserve"> </w:t>
      </w:r>
      <w:r w:rsidRPr="00780D2B">
        <w:rPr>
          <w:rFonts w:ascii="Arial" w:eastAsia="Arial" w:hAnsi="Arial" w:cs="Arial"/>
          <w:b/>
          <w:bCs/>
          <w:sz w:val="24"/>
          <w:szCs w:val="24"/>
        </w:rPr>
        <w:t>105</w:t>
      </w:r>
      <w:r w:rsidRPr="00780D2B">
        <w:rPr>
          <w:rFonts w:ascii="Arial" w:eastAsia="Arial" w:hAnsi="Arial" w:cs="Arial"/>
          <w:sz w:val="24"/>
          <w:szCs w:val="24"/>
        </w:rPr>
        <w:t xml:space="preserve">, no. 2, 429–465, </w:t>
      </w:r>
      <w:proofErr w:type="spellStart"/>
      <w:r w:rsidRPr="00780D2B">
        <w:rPr>
          <w:rFonts w:ascii="Arial" w:eastAsia="Arial" w:hAnsi="Arial" w:cs="Arial"/>
          <w:sz w:val="24"/>
          <w:szCs w:val="24"/>
        </w:rPr>
        <w:t>doi</w:t>
      </w:r>
      <w:proofErr w:type="spellEnd"/>
      <w:r w:rsidRPr="00780D2B">
        <w:rPr>
          <w:rFonts w:ascii="Arial" w:eastAsia="Arial" w:hAnsi="Arial" w:cs="Arial"/>
          <w:sz w:val="24"/>
          <w:szCs w:val="24"/>
        </w:rPr>
        <w:t>:</w:t>
      </w:r>
      <w:hyperlink r:id="rId78">
        <w:r w:rsidR="007D17B2" w:rsidRPr="00780D2B">
          <w:rPr>
            <w:rFonts w:ascii="Arial" w:eastAsia="Arial" w:hAnsi="Arial" w:cs="Arial"/>
            <w:sz w:val="24"/>
            <w:szCs w:val="24"/>
          </w:rPr>
          <w:t xml:space="preserve"> </w:t>
        </w:r>
      </w:hyperlink>
      <w:hyperlink r:id="rId79">
        <w:r w:rsidR="007D17B2" w:rsidRPr="00780D2B">
          <w:rPr>
            <w:rFonts w:ascii="Arial" w:eastAsia="Arial" w:hAnsi="Arial" w:cs="Arial"/>
            <w:color w:val="1155CC"/>
            <w:sz w:val="24"/>
            <w:szCs w:val="24"/>
            <w:u w:val="single"/>
          </w:rPr>
          <w:t>10.1111/j.1365-246X.1991.tb06724.x</w:t>
        </w:r>
      </w:hyperlink>
      <w:r w:rsidRPr="00780D2B">
        <w:rPr>
          <w:rFonts w:ascii="Arial" w:eastAsia="Arial" w:hAnsi="Arial" w:cs="Arial"/>
          <w:sz w:val="24"/>
          <w:szCs w:val="24"/>
        </w:rPr>
        <w:t>.</w:t>
      </w:r>
    </w:p>
    <w:p w14:paraId="0333939F" w14:textId="77777777" w:rsidR="007D17B2" w:rsidRPr="00780D2B" w:rsidRDefault="00000000">
      <w:pPr>
        <w:spacing w:before="240" w:after="120" w:line="480" w:lineRule="auto"/>
        <w:jc w:val="both"/>
        <w:rPr>
          <w:rFonts w:ascii="Arial" w:eastAsia="Arial" w:hAnsi="Arial" w:cs="Arial"/>
          <w:sz w:val="24"/>
          <w:szCs w:val="24"/>
        </w:rPr>
      </w:pPr>
      <w:r w:rsidRPr="00780D2B">
        <w:rPr>
          <w:rFonts w:ascii="Arial" w:eastAsia="Arial" w:hAnsi="Arial" w:cs="Arial"/>
          <w:sz w:val="24"/>
          <w:szCs w:val="24"/>
        </w:rPr>
        <w:t xml:space="preserve">Kham, M., J.-F. </w:t>
      </w:r>
      <w:proofErr w:type="spellStart"/>
      <w:r w:rsidRPr="00780D2B">
        <w:rPr>
          <w:rFonts w:ascii="Arial" w:eastAsia="Arial" w:hAnsi="Arial" w:cs="Arial"/>
          <w:sz w:val="24"/>
          <w:szCs w:val="24"/>
        </w:rPr>
        <w:t>Semblat</w:t>
      </w:r>
      <w:proofErr w:type="spellEnd"/>
      <w:r w:rsidRPr="00780D2B">
        <w:rPr>
          <w:rFonts w:ascii="Arial" w:eastAsia="Arial" w:hAnsi="Arial" w:cs="Arial"/>
          <w:sz w:val="24"/>
          <w:szCs w:val="24"/>
        </w:rPr>
        <w:t xml:space="preserve">, P.-Y. Bard, and P. </w:t>
      </w:r>
      <w:proofErr w:type="spellStart"/>
      <w:r w:rsidRPr="00780D2B">
        <w:rPr>
          <w:rFonts w:ascii="Arial" w:eastAsia="Arial" w:hAnsi="Arial" w:cs="Arial"/>
          <w:sz w:val="24"/>
          <w:szCs w:val="24"/>
        </w:rPr>
        <w:t>Dangla</w:t>
      </w:r>
      <w:proofErr w:type="spellEnd"/>
      <w:r w:rsidRPr="00780D2B">
        <w:rPr>
          <w:rFonts w:ascii="Arial" w:eastAsia="Arial" w:hAnsi="Arial" w:cs="Arial"/>
          <w:sz w:val="24"/>
          <w:szCs w:val="24"/>
        </w:rPr>
        <w:t xml:space="preserve"> (2006). Seismic Site-City Interaction: Main Governing Phenomena through Simplified Numerical Models, </w:t>
      </w:r>
      <w:r w:rsidRPr="00780D2B">
        <w:rPr>
          <w:rFonts w:ascii="Arial" w:eastAsia="Arial" w:hAnsi="Arial" w:cs="Arial"/>
          <w:i/>
          <w:iCs/>
          <w:sz w:val="24"/>
          <w:szCs w:val="24"/>
        </w:rPr>
        <w:t>Bulletin of the Seismological Society of America</w:t>
      </w:r>
      <w:r w:rsidRPr="00780D2B">
        <w:rPr>
          <w:rFonts w:ascii="Arial" w:eastAsia="Arial" w:hAnsi="Arial" w:cs="Arial"/>
          <w:sz w:val="24"/>
          <w:szCs w:val="24"/>
        </w:rPr>
        <w:t xml:space="preserve"> </w:t>
      </w:r>
      <w:r w:rsidRPr="00780D2B">
        <w:rPr>
          <w:rFonts w:ascii="Arial" w:eastAsia="Arial" w:hAnsi="Arial" w:cs="Arial"/>
          <w:b/>
          <w:bCs/>
          <w:sz w:val="24"/>
          <w:szCs w:val="24"/>
        </w:rPr>
        <w:t>96</w:t>
      </w:r>
      <w:r w:rsidRPr="00780D2B">
        <w:rPr>
          <w:rFonts w:ascii="Arial" w:eastAsia="Arial" w:hAnsi="Arial" w:cs="Arial"/>
          <w:sz w:val="24"/>
          <w:szCs w:val="24"/>
        </w:rPr>
        <w:t xml:space="preserve">, no. 5, 1934–1951, </w:t>
      </w:r>
      <w:proofErr w:type="spellStart"/>
      <w:r w:rsidRPr="00780D2B">
        <w:rPr>
          <w:rFonts w:ascii="Arial" w:eastAsia="Arial" w:hAnsi="Arial" w:cs="Arial"/>
          <w:sz w:val="24"/>
          <w:szCs w:val="24"/>
        </w:rPr>
        <w:t>doi</w:t>
      </w:r>
      <w:proofErr w:type="spellEnd"/>
      <w:r w:rsidRPr="00780D2B">
        <w:rPr>
          <w:rFonts w:ascii="Arial" w:eastAsia="Arial" w:hAnsi="Arial" w:cs="Arial"/>
          <w:sz w:val="24"/>
          <w:szCs w:val="24"/>
        </w:rPr>
        <w:t>:</w:t>
      </w:r>
      <w:hyperlink r:id="rId80">
        <w:r w:rsidR="007D17B2" w:rsidRPr="00780D2B">
          <w:rPr>
            <w:rFonts w:ascii="Arial" w:eastAsia="Arial" w:hAnsi="Arial" w:cs="Arial"/>
            <w:sz w:val="24"/>
            <w:szCs w:val="24"/>
          </w:rPr>
          <w:t xml:space="preserve"> </w:t>
        </w:r>
      </w:hyperlink>
      <w:hyperlink r:id="rId81">
        <w:r w:rsidR="007D17B2" w:rsidRPr="00780D2B">
          <w:rPr>
            <w:rFonts w:ascii="Arial" w:eastAsia="Arial" w:hAnsi="Arial" w:cs="Arial"/>
            <w:color w:val="1155CC"/>
            <w:sz w:val="24"/>
            <w:szCs w:val="24"/>
            <w:u w:val="single"/>
          </w:rPr>
          <w:t>10.1785/0120050143</w:t>
        </w:r>
      </w:hyperlink>
      <w:r w:rsidRPr="00780D2B">
        <w:rPr>
          <w:rFonts w:ascii="Arial" w:eastAsia="Arial" w:hAnsi="Arial" w:cs="Arial"/>
          <w:sz w:val="24"/>
          <w:szCs w:val="24"/>
        </w:rPr>
        <w:t>.</w:t>
      </w:r>
    </w:p>
    <w:p w14:paraId="6CB2FCEC" w14:textId="77777777" w:rsidR="007D17B2" w:rsidRPr="00780D2B" w:rsidRDefault="00000000">
      <w:pPr>
        <w:spacing w:before="240" w:after="120" w:line="480" w:lineRule="auto"/>
        <w:jc w:val="both"/>
        <w:rPr>
          <w:rFonts w:ascii="Arial" w:eastAsia="Arial" w:hAnsi="Arial" w:cs="Arial"/>
          <w:sz w:val="24"/>
          <w:szCs w:val="24"/>
        </w:rPr>
      </w:pPr>
      <w:r w:rsidRPr="00780D2B">
        <w:rPr>
          <w:rFonts w:ascii="Arial" w:eastAsia="Arial" w:hAnsi="Arial" w:cs="Arial"/>
          <w:sz w:val="24"/>
          <w:szCs w:val="24"/>
          <w:lang w:val="it-IT"/>
        </w:rPr>
        <w:t xml:space="preserve">Laurenzano, G., E. Priolo, M. R. Gallipoli, M. Mucciarelli, and F. C. Ponzo (2010). </w:t>
      </w:r>
      <w:r w:rsidRPr="00780D2B">
        <w:rPr>
          <w:rFonts w:ascii="Arial" w:eastAsia="Arial" w:hAnsi="Arial" w:cs="Arial"/>
          <w:sz w:val="24"/>
          <w:szCs w:val="24"/>
        </w:rPr>
        <w:t xml:space="preserve">Effect of Vibrating Buildings on Free-Field Motion and on Adjacent Structures: The </w:t>
      </w:r>
      <w:proofErr w:type="spellStart"/>
      <w:r w:rsidRPr="00780D2B">
        <w:rPr>
          <w:rFonts w:ascii="Arial" w:eastAsia="Arial" w:hAnsi="Arial" w:cs="Arial"/>
          <w:sz w:val="24"/>
          <w:szCs w:val="24"/>
        </w:rPr>
        <w:t>Bonefro</w:t>
      </w:r>
      <w:proofErr w:type="spellEnd"/>
      <w:r w:rsidRPr="00780D2B">
        <w:rPr>
          <w:rFonts w:ascii="Arial" w:eastAsia="Arial" w:hAnsi="Arial" w:cs="Arial"/>
          <w:sz w:val="24"/>
          <w:szCs w:val="24"/>
        </w:rPr>
        <w:t xml:space="preserve"> (Italy) Case History, </w:t>
      </w:r>
      <w:r w:rsidRPr="00780D2B">
        <w:rPr>
          <w:rFonts w:ascii="Arial" w:eastAsia="Arial" w:hAnsi="Arial" w:cs="Arial"/>
          <w:i/>
          <w:iCs/>
          <w:sz w:val="24"/>
          <w:szCs w:val="24"/>
        </w:rPr>
        <w:t>Bulletin of the Seismological Society of America</w:t>
      </w:r>
      <w:r w:rsidRPr="00780D2B">
        <w:rPr>
          <w:rFonts w:ascii="Arial" w:eastAsia="Arial" w:hAnsi="Arial" w:cs="Arial"/>
          <w:sz w:val="24"/>
          <w:szCs w:val="24"/>
        </w:rPr>
        <w:t xml:space="preserve"> </w:t>
      </w:r>
      <w:r w:rsidRPr="00780D2B">
        <w:rPr>
          <w:rFonts w:ascii="Arial" w:eastAsia="Arial" w:hAnsi="Arial" w:cs="Arial"/>
          <w:b/>
          <w:bCs/>
          <w:sz w:val="24"/>
          <w:szCs w:val="24"/>
        </w:rPr>
        <w:t>100</w:t>
      </w:r>
      <w:r w:rsidRPr="00780D2B">
        <w:rPr>
          <w:rFonts w:ascii="Arial" w:eastAsia="Arial" w:hAnsi="Arial" w:cs="Arial"/>
          <w:sz w:val="24"/>
          <w:szCs w:val="24"/>
        </w:rPr>
        <w:t xml:space="preserve">, no. 2, 802–818, </w:t>
      </w:r>
      <w:proofErr w:type="spellStart"/>
      <w:r w:rsidRPr="00780D2B">
        <w:rPr>
          <w:rFonts w:ascii="Arial" w:eastAsia="Arial" w:hAnsi="Arial" w:cs="Arial"/>
          <w:sz w:val="24"/>
          <w:szCs w:val="24"/>
        </w:rPr>
        <w:t>doi</w:t>
      </w:r>
      <w:proofErr w:type="spellEnd"/>
      <w:r w:rsidRPr="00780D2B">
        <w:rPr>
          <w:rFonts w:ascii="Arial" w:eastAsia="Arial" w:hAnsi="Arial" w:cs="Arial"/>
          <w:sz w:val="24"/>
          <w:szCs w:val="24"/>
        </w:rPr>
        <w:t>:</w:t>
      </w:r>
      <w:hyperlink r:id="rId82">
        <w:r w:rsidR="007D17B2" w:rsidRPr="00780D2B">
          <w:rPr>
            <w:rFonts w:ascii="Arial" w:eastAsia="Arial" w:hAnsi="Arial" w:cs="Arial"/>
            <w:sz w:val="24"/>
            <w:szCs w:val="24"/>
          </w:rPr>
          <w:t xml:space="preserve"> </w:t>
        </w:r>
      </w:hyperlink>
      <w:hyperlink r:id="rId83">
        <w:r w:rsidR="007D17B2" w:rsidRPr="00780D2B">
          <w:rPr>
            <w:rFonts w:ascii="Arial" w:eastAsia="Arial" w:hAnsi="Arial" w:cs="Arial"/>
            <w:color w:val="1155CC"/>
            <w:sz w:val="24"/>
            <w:szCs w:val="24"/>
            <w:u w:val="single"/>
          </w:rPr>
          <w:t>10.1785/0120080312</w:t>
        </w:r>
      </w:hyperlink>
      <w:r w:rsidRPr="00780D2B">
        <w:rPr>
          <w:rFonts w:ascii="Arial" w:eastAsia="Arial" w:hAnsi="Arial" w:cs="Arial"/>
          <w:sz w:val="24"/>
          <w:szCs w:val="24"/>
        </w:rPr>
        <w:t>.</w:t>
      </w:r>
    </w:p>
    <w:p w14:paraId="299DD27D" w14:textId="77777777" w:rsidR="007D17B2" w:rsidRPr="00780D2B" w:rsidRDefault="00000000">
      <w:pPr>
        <w:spacing w:before="240" w:after="120" w:line="480" w:lineRule="auto"/>
        <w:jc w:val="both"/>
        <w:rPr>
          <w:rFonts w:ascii="Arial" w:eastAsia="Arial" w:hAnsi="Arial" w:cs="Arial"/>
          <w:sz w:val="24"/>
          <w:szCs w:val="24"/>
        </w:rPr>
      </w:pPr>
      <w:proofErr w:type="spellStart"/>
      <w:r w:rsidRPr="00780D2B">
        <w:rPr>
          <w:rFonts w:ascii="Arial" w:eastAsia="Arial" w:hAnsi="Arial" w:cs="Arial"/>
          <w:sz w:val="24"/>
          <w:szCs w:val="24"/>
          <w:lang w:val="it-IT"/>
        </w:rPr>
        <w:t>Mascandola</w:t>
      </w:r>
      <w:proofErr w:type="spellEnd"/>
      <w:r w:rsidRPr="00780D2B">
        <w:rPr>
          <w:rFonts w:ascii="Arial" w:eastAsia="Arial" w:hAnsi="Arial" w:cs="Arial"/>
          <w:sz w:val="24"/>
          <w:szCs w:val="24"/>
          <w:lang w:val="it-IT"/>
        </w:rPr>
        <w:t xml:space="preserve">, C., M. Massa, S. Barani, D. Albarello, S. Lovati, L. Martelli, and V. Poggi (2019). </w:t>
      </w:r>
      <w:r w:rsidRPr="00780D2B">
        <w:rPr>
          <w:rFonts w:ascii="Arial" w:eastAsia="Arial" w:hAnsi="Arial" w:cs="Arial"/>
          <w:sz w:val="24"/>
          <w:szCs w:val="24"/>
        </w:rPr>
        <w:t>Mapping the Seismic Bedrock of the Po Plain (Italy) through Ambient</w:t>
      </w:r>
      <w:r w:rsidRPr="00780D2B">
        <w:rPr>
          <w:rFonts w:ascii="Cambria Math" w:eastAsia="Cambria Math" w:hAnsi="Cambria Math" w:cs="Cambria Math"/>
          <w:sz w:val="24"/>
          <w:szCs w:val="24"/>
        </w:rPr>
        <w:t>‐</w:t>
      </w:r>
      <w:r w:rsidRPr="00780D2B">
        <w:rPr>
          <w:rFonts w:ascii="Arial" w:eastAsia="Arial" w:hAnsi="Arial" w:cs="Arial"/>
          <w:sz w:val="24"/>
          <w:szCs w:val="24"/>
        </w:rPr>
        <w:t xml:space="preserve">Vibration Monitoring, </w:t>
      </w:r>
      <w:r w:rsidRPr="00780D2B">
        <w:rPr>
          <w:rFonts w:ascii="Arial" w:eastAsia="Arial" w:hAnsi="Arial" w:cs="Arial"/>
          <w:i/>
          <w:iCs/>
          <w:sz w:val="24"/>
          <w:szCs w:val="24"/>
        </w:rPr>
        <w:t>Bulletin of the Seismological Society of America</w:t>
      </w:r>
      <w:r w:rsidRPr="00780D2B">
        <w:rPr>
          <w:rFonts w:ascii="Arial" w:eastAsia="Arial" w:hAnsi="Arial" w:cs="Arial"/>
          <w:sz w:val="24"/>
          <w:szCs w:val="24"/>
        </w:rPr>
        <w:t xml:space="preserve"> </w:t>
      </w:r>
      <w:r w:rsidRPr="00780D2B">
        <w:rPr>
          <w:rFonts w:ascii="Arial" w:eastAsia="Arial" w:hAnsi="Arial" w:cs="Arial"/>
          <w:b/>
          <w:bCs/>
          <w:sz w:val="24"/>
          <w:szCs w:val="24"/>
        </w:rPr>
        <w:t>109</w:t>
      </w:r>
      <w:r w:rsidRPr="00780D2B">
        <w:rPr>
          <w:rFonts w:ascii="Arial" w:eastAsia="Arial" w:hAnsi="Arial" w:cs="Arial"/>
          <w:sz w:val="24"/>
          <w:szCs w:val="24"/>
        </w:rPr>
        <w:t xml:space="preserve">, no. 1, 164–177, </w:t>
      </w:r>
      <w:proofErr w:type="spellStart"/>
      <w:r w:rsidRPr="00780D2B">
        <w:rPr>
          <w:rFonts w:ascii="Arial" w:eastAsia="Arial" w:hAnsi="Arial" w:cs="Arial"/>
          <w:sz w:val="24"/>
          <w:szCs w:val="24"/>
        </w:rPr>
        <w:t>doi</w:t>
      </w:r>
      <w:proofErr w:type="spellEnd"/>
      <w:r w:rsidRPr="00780D2B">
        <w:rPr>
          <w:rFonts w:ascii="Arial" w:eastAsia="Arial" w:hAnsi="Arial" w:cs="Arial"/>
          <w:sz w:val="24"/>
          <w:szCs w:val="24"/>
        </w:rPr>
        <w:t>:</w:t>
      </w:r>
      <w:hyperlink r:id="rId84">
        <w:r w:rsidR="007D17B2" w:rsidRPr="00780D2B">
          <w:rPr>
            <w:rFonts w:ascii="Arial" w:eastAsia="Arial" w:hAnsi="Arial" w:cs="Arial"/>
            <w:sz w:val="24"/>
            <w:szCs w:val="24"/>
          </w:rPr>
          <w:t xml:space="preserve"> </w:t>
        </w:r>
      </w:hyperlink>
      <w:hyperlink r:id="rId85">
        <w:r w:rsidR="007D17B2" w:rsidRPr="00780D2B">
          <w:rPr>
            <w:rFonts w:ascii="Arial" w:eastAsia="Arial" w:hAnsi="Arial" w:cs="Arial"/>
            <w:color w:val="1155CC"/>
            <w:sz w:val="24"/>
            <w:szCs w:val="24"/>
            <w:u w:val="single"/>
          </w:rPr>
          <w:t>10.1785/0120180193</w:t>
        </w:r>
      </w:hyperlink>
      <w:r w:rsidRPr="00780D2B">
        <w:rPr>
          <w:rFonts w:ascii="Arial" w:eastAsia="Arial" w:hAnsi="Arial" w:cs="Arial"/>
          <w:sz w:val="24"/>
          <w:szCs w:val="24"/>
        </w:rPr>
        <w:t>.</w:t>
      </w:r>
    </w:p>
    <w:p w14:paraId="26A0CD6B" w14:textId="77777777" w:rsidR="007D17B2" w:rsidRPr="00780D2B" w:rsidRDefault="00000000">
      <w:pPr>
        <w:spacing w:before="240" w:after="120" w:line="480" w:lineRule="auto"/>
        <w:jc w:val="both"/>
        <w:rPr>
          <w:rFonts w:ascii="Arial" w:eastAsia="Arial" w:hAnsi="Arial" w:cs="Arial"/>
          <w:sz w:val="24"/>
          <w:szCs w:val="24"/>
        </w:rPr>
      </w:pPr>
      <w:r w:rsidRPr="00780D2B">
        <w:rPr>
          <w:rFonts w:ascii="Arial" w:eastAsia="Arial" w:hAnsi="Arial" w:cs="Arial"/>
          <w:sz w:val="24"/>
          <w:szCs w:val="24"/>
          <w:lang w:val="de-DE"/>
        </w:rPr>
        <w:t xml:space="preserve">Mehta, K., R. </w:t>
      </w:r>
      <w:proofErr w:type="spellStart"/>
      <w:r w:rsidRPr="00780D2B">
        <w:rPr>
          <w:rFonts w:ascii="Arial" w:eastAsia="Arial" w:hAnsi="Arial" w:cs="Arial"/>
          <w:sz w:val="24"/>
          <w:szCs w:val="24"/>
          <w:lang w:val="de-DE"/>
        </w:rPr>
        <w:t>Snieder</w:t>
      </w:r>
      <w:proofErr w:type="spellEnd"/>
      <w:r w:rsidRPr="00780D2B">
        <w:rPr>
          <w:rFonts w:ascii="Arial" w:eastAsia="Arial" w:hAnsi="Arial" w:cs="Arial"/>
          <w:sz w:val="24"/>
          <w:szCs w:val="24"/>
          <w:lang w:val="de-DE"/>
        </w:rPr>
        <w:t xml:space="preserve">, and V. </w:t>
      </w:r>
      <w:proofErr w:type="spellStart"/>
      <w:r w:rsidRPr="00780D2B">
        <w:rPr>
          <w:rFonts w:ascii="Arial" w:eastAsia="Arial" w:hAnsi="Arial" w:cs="Arial"/>
          <w:sz w:val="24"/>
          <w:szCs w:val="24"/>
          <w:lang w:val="de-DE"/>
        </w:rPr>
        <w:t>Graizer</w:t>
      </w:r>
      <w:proofErr w:type="spellEnd"/>
      <w:r w:rsidRPr="00780D2B">
        <w:rPr>
          <w:rFonts w:ascii="Arial" w:eastAsia="Arial" w:hAnsi="Arial" w:cs="Arial"/>
          <w:sz w:val="24"/>
          <w:szCs w:val="24"/>
          <w:lang w:val="de-DE"/>
        </w:rPr>
        <w:t xml:space="preserve"> (2007). </w:t>
      </w:r>
      <w:r w:rsidRPr="00780D2B">
        <w:rPr>
          <w:rFonts w:ascii="Arial" w:eastAsia="Arial" w:hAnsi="Arial" w:cs="Arial"/>
          <w:sz w:val="24"/>
          <w:szCs w:val="24"/>
        </w:rPr>
        <w:t xml:space="preserve">Downhole Receiver Function: a Case Study, </w:t>
      </w:r>
      <w:r w:rsidRPr="00780D2B">
        <w:rPr>
          <w:rFonts w:ascii="Arial" w:eastAsia="Arial" w:hAnsi="Arial" w:cs="Arial"/>
          <w:i/>
          <w:iCs/>
          <w:sz w:val="24"/>
          <w:szCs w:val="24"/>
        </w:rPr>
        <w:t>Bulletin of the Seismological Society of America</w:t>
      </w:r>
      <w:r w:rsidRPr="00780D2B">
        <w:rPr>
          <w:rFonts w:ascii="Arial" w:eastAsia="Arial" w:hAnsi="Arial" w:cs="Arial"/>
          <w:sz w:val="24"/>
          <w:szCs w:val="24"/>
        </w:rPr>
        <w:t xml:space="preserve"> </w:t>
      </w:r>
      <w:r w:rsidRPr="00780D2B">
        <w:rPr>
          <w:rFonts w:ascii="Arial" w:eastAsia="Arial" w:hAnsi="Arial" w:cs="Arial"/>
          <w:b/>
          <w:bCs/>
          <w:sz w:val="24"/>
          <w:szCs w:val="24"/>
        </w:rPr>
        <w:t>97</w:t>
      </w:r>
      <w:r w:rsidRPr="00780D2B">
        <w:rPr>
          <w:rFonts w:ascii="Arial" w:eastAsia="Arial" w:hAnsi="Arial" w:cs="Arial"/>
          <w:sz w:val="24"/>
          <w:szCs w:val="24"/>
        </w:rPr>
        <w:t xml:space="preserve">, no. 5, 1396–1403, </w:t>
      </w:r>
      <w:proofErr w:type="spellStart"/>
      <w:r w:rsidRPr="00780D2B">
        <w:rPr>
          <w:rFonts w:ascii="Arial" w:eastAsia="Arial" w:hAnsi="Arial" w:cs="Arial"/>
          <w:sz w:val="24"/>
          <w:szCs w:val="24"/>
        </w:rPr>
        <w:t>doi</w:t>
      </w:r>
      <w:proofErr w:type="spellEnd"/>
      <w:r w:rsidRPr="00780D2B">
        <w:rPr>
          <w:rFonts w:ascii="Arial" w:eastAsia="Arial" w:hAnsi="Arial" w:cs="Arial"/>
          <w:sz w:val="24"/>
          <w:szCs w:val="24"/>
        </w:rPr>
        <w:t>:</w:t>
      </w:r>
      <w:hyperlink r:id="rId86">
        <w:r w:rsidR="007D17B2" w:rsidRPr="00780D2B">
          <w:rPr>
            <w:rFonts w:ascii="Arial" w:eastAsia="Arial" w:hAnsi="Arial" w:cs="Arial"/>
            <w:sz w:val="24"/>
            <w:szCs w:val="24"/>
          </w:rPr>
          <w:t xml:space="preserve"> </w:t>
        </w:r>
      </w:hyperlink>
      <w:hyperlink r:id="rId87">
        <w:r w:rsidR="007D17B2" w:rsidRPr="00780D2B">
          <w:rPr>
            <w:rFonts w:ascii="Arial" w:eastAsia="Arial" w:hAnsi="Arial" w:cs="Arial"/>
            <w:color w:val="1155CC"/>
            <w:sz w:val="24"/>
            <w:szCs w:val="24"/>
            <w:u w:val="single"/>
          </w:rPr>
          <w:t>10.1785/0120060256</w:t>
        </w:r>
      </w:hyperlink>
      <w:r w:rsidRPr="00780D2B">
        <w:rPr>
          <w:rFonts w:ascii="Arial" w:eastAsia="Arial" w:hAnsi="Arial" w:cs="Arial"/>
          <w:sz w:val="24"/>
          <w:szCs w:val="24"/>
        </w:rPr>
        <w:t>.</w:t>
      </w:r>
    </w:p>
    <w:p w14:paraId="01F54AB5" w14:textId="77777777" w:rsidR="007D17B2" w:rsidRPr="00780D2B" w:rsidRDefault="00000000">
      <w:pPr>
        <w:spacing w:before="240" w:after="120" w:line="480" w:lineRule="auto"/>
        <w:jc w:val="both"/>
        <w:rPr>
          <w:rFonts w:ascii="Arial" w:eastAsia="Arial" w:hAnsi="Arial" w:cs="Arial"/>
          <w:sz w:val="24"/>
          <w:szCs w:val="24"/>
        </w:rPr>
      </w:pPr>
      <w:r w:rsidRPr="00780D2B">
        <w:rPr>
          <w:rFonts w:ascii="Arial" w:eastAsia="Arial" w:hAnsi="Arial" w:cs="Arial"/>
          <w:sz w:val="24"/>
          <w:szCs w:val="24"/>
        </w:rPr>
        <w:t xml:space="preserve">Met Office (2024). </w:t>
      </w:r>
      <w:proofErr w:type="spellStart"/>
      <w:r w:rsidRPr="00780D2B">
        <w:rPr>
          <w:rFonts w:ascii="Arial" w:eastAsia="Arial" w:hAnsi="Arial" w:cs="Arial"/>
          <w:sz w:val="24"/>
          <w:szCs w:val="24"/>
        </w:rPr>
        <w:t>Cartopy</w:t>
      </w:r>
      <w:proofErr w:type="spellEnd"/>
      <w:r w:rsidRPr="00780D2B">
        <w:rPr>
          <w:rFonts w:ascii="Arial" w:eastAsia="Arial" w:hAnsi="Arial" w:cs="Arial"/>
          <w:sz w:val="24"/>
          <w:szCs w:val="24"/>
        </w:rPr>
        <w:t>: a cartographic python library with a Matplotlib interface, UK.</w:t>
      </w:r>
    </w:p>
    <w:p w14:paraId="3A3FA426" w14:textId="77777777" w:rsidR="007D17B2" w:rsidRPr="00780D2B" w:rsidRDefault="00000000">
      <w:pPr>
        <w:spacing w:before="240" w:after="120" w:line="480" w:lineRule="auto"/>
        <w:jc w:val="both"/>
        <w:rPr>
          <w:rFonts w:ascii="Arial" w:eastAsia="Arial" w:hAnsi="Arial" w:cs="Arial"/>
          <w:sz w:val="24"/>
          <w:szCs w:val="24"/>
        </w:rPr>
      </w:pPr>
      <w:r w:rsidRPr="00780D2B">
        <w:rPr>
          <w:rFonts w:ascii="Arial" w:eastAsia="Arial" w:hAnsi="Arial" w:cs="Arial"/>
          <w:sz w:val="24"/>
          <w:szCs w:val="24"/>
        </w:rPr>
        <w:t xml:space="preserve">Michel, C., P. </w:t>
      </w:r>
      <w:proofErr w:type="spellStart"/>
      <w:r w:rsidRPr="00780D2B">
        <w:rPr>
          <w:rFonts w:ascii="Arial" w:eastAsia="Arial" w:hAnsi="Arial" w:cs="Arial"/>
          <w:sz w:val="24"/>
          <w:szCs w:val="24"/>
        </w:rPr>
        <w:t>Guéguen</w:t>
      </w:r>
      <w:proofErr w:type="spellEnd"/>
      <w:r w:rsidRPr="00780D2B">
        <w:rPr>
          <w:rFonts w:ascii="Arial" w:eastAsia="Arial" w:hAnsi="Arial" w:cs="Arial"/>
          <w:sz w:val="24"/>
          <w:szCs w:val="24"/>
        </w:rPr>
        <w:t xml:space="preserve">, and P.-Y. Bard (2008). Dynamic parameters of structures extracted from ambient vibration measurements: An aid for the seismic vulnerability </w:t>
      </w:r>
      <w:r w:rsidRPr="00780D2B">
        <w:rPr>
          <w:rFonts w:ascii="Arial" w:eastAsia="Arial" w:hAnsi="Arial" w:cs="Arial"/>
          <w:sz w:val="24"/>
          <w:szCs w:val="24"/>
        </w:rPr>
        <w:lastRenderedPageBreak/>
        <w:t xml:space="preserve">assessment of existing buildings in moderate seismic hazard regions, </w:t>
      </w:r>
      <w:r w:rsidRPr="00780D2B">
        <w:rPr>
          <w:rFonts w:ascii="Arial" w:eastAsia="Arial" w:hAnsi="Arial" w:cs="Arial"/>
          <w:i/>
          <w:iCs/>
          <w:sz w:val="24"/>
          <w:szCs w:val="24"/>
        </w:rPr>
        <w:t>Soil Dynamics and Earthquake Engineering</w:t>
      </w:r>
      <w:r w:rsidRPr="00780D2B">
        <w:rPr>
          <w:rFonts w:ascii="Arial" w:eastAsia="Arial" w:hAnsi="Arial" w:cs="Arial"/>
          <w:sz w:val="24"/>
          <w:szCs w:val="24"/>
        </w:rPr>
        <w:t xml:space="preserve"> </w:t>
      </w:r>
      <w:r w:rsidRPr="00780D2B">
        <w:rPr>
          <w:rFonts w:ascii="Arial" w:eastAsia="Arial" w:hAnsi="Arial" w:cs="Arial"/>
          <w:b/>
          <w:bCs/>
          <w:sz w:val="24"/>
          <w:szCs w:val="24"/>
        </w:rPr>
        <w:t>28</w:t>
      </w:r>
      <w:r w:rsidRPr="00780D2B">
        <w:rPr>
          <w:rFonts w:ascii="Arial" w:eastAsia="Arial" w:hAnsi="Arial" w:cs="Arial"/>
          <w:sz w:val="24"/>
          <w:szCs w:val="24"/>
        </w:rPr>
        <w:t xml:space="preserve">, no. 8, 593–604, </w:t>
      </w:r>
      <w:proofErr w:type="spellStart"/>
      <w:r w:rsidRPr="00780D2B">
        <w:rPr>
          <w:rFonts w:ascii="Arial" w:eastAsia="Arial" w:hAnsi="Arial" w:cs="Arial"/>
          <w:sz w:val="24"/>
          <w:szCs w:val="24"/>
        </w:rPr>
        <w:t>doi</w:t>
      </w:r>
      <w:proofErr w:type="spellEnd"/>
      <w:r w:rsidRPr="00780D2B">
        <w:rPr>
          <w:rFonts w:ascii="Arial" w:eastAsia="Arial" w:hAnsi="Arial" w:cs="Arial"/>
          <w:sz w:val="24"/>
          <w:szCs w:val="24"/>
        </w:rPr>
        <w:t>:</w:t>
      </w:r>
      <w:hyperlink r:id="rId88">
        <w:r w:rsidR="007D17B2" w:rsidRPr="00780D2B">
          <w:rPr>
            <w:rFonts w:ascii="Arial" w:eastAsia="Arial" w:hAnsi="Arial" w:cs="Arial"/>
            <w:sz w:val="24"/>
            <w:szCs w:val="24"/>
          </w:rPr>
          <w:t xml:space="preserve"> </w:t>
        </w:r>
      </w:hyperlink>
      <w:hyperlink r:id="rId89">
        <w:r w:rsidR="007D17B2" w:rsidRPr="00780D2B">
          <w:rPr>
            <w:rFonts w:ascii="Arial" w:eastAsia="Arial" w:hAnsi="Arial" w:cs="Arial"/>
            <w:color w:val="1155CC"/>
            <w:sz w:val="24"/>
            <w:szCs w:val="24"/>
            <w:u w:val="single"/>
          </w:rPr>
          <w:t>10.1016/j.soildyn.2007.10.002</w:t>
        </w:r>
      </w:hyperlink>
      <w:r w:rsidRPr="00780D2B">
        <w:rPr>
          <w:rFonts w:ascii="Arial" w:eastAsia="Arial" w:hAnsi="Arial" w:cs="Arial"/>
          <w:sz w:val="24"/>
          <w:szCs w:val="24"/>
        </w:rPr>
        <w:t>.</w:t>
      </w:r>
    </w:p>
    <w:p w14:paraId="36890798" w14:textId="77777777" w:rsidR="007D17B2" w:rsidRPr="00780D2B" w:rsidRDefault="00000000">
      <w:pPr>
        <w:spacing w:before="240" w:after="120" w:line="480" w:lineRule="auto"/>
        <w:jc w:val="both"/>
        <w:rPr>
          <w:rFonts w:ascii="Arial" w:eastAsia="Arial" w:hAnsi="Arial" w:cs="Arial"/>
          <w:sz w:val="24"/>
          <w:szCs w:val="24"/>
          <w:lang w:val="it-IT"/>
        </w:rPr>
      </w:pPr>
      <w:r w:rsidRPr="00780D2B">
        <w:rPr>
          <w:rFonts w:ascii="Arial" w:eastAsia="Arial" w:hAnsi="Arial" w:cs="Arial"/>
          <w:sz w:val="24"/>
          <w:szCs w:val="24"/>
          <w:lang w:val="it-IT"/>
        </w:rPr>
        <w:t>Ministero dei Lavori Pubblici (1996). DECRETO MINISTERIALE 9 gennaio 1996: Norme tecniche per il calcolo, l’esecuzione ed il collaudo delle strutture in cemento armato, normale e precompresso e per le strutture metalliche.</w:t>
      </w:r>
    </w:p>
    <w:p w14:paraId="41F52F21" w14:textId="77777777" w:rsidR="007D17B2" w:rsidRPr="00780D2B" w:rsidRDefault="00000000">
      <w:pPr>
        <w:spacing w:before="240" w:after="120" w:line="480" w:lineRule="auto"/>
        <w:jc w:val="both"/>
        <w:rPr>
          <w:rFonts w:ascii="Arial" w:eastAsia="Arial" w:hAnsi="Arial" w:cs="Arial"/>
          <w:sz w:val="24"/>
          <w:szCs w:val="24"/>
        </w:rPr>
      </w:pPr>
      <w:r w:rsidRPr="00780D2B">
        <w:rPr>
          <w:rFonts w:ascii="Arial" w:eastAsia="Arial" w:hAnsi="Arial" w:cs="Arial"/>
          <w:sz w:val="24"/>
          <w:szCs w:val="24"/>
          <w:lang w:val="it-IT"/>
        </w:rPr>
        <w:t xml:space="preserve">Molinari, I., A. Argnani, A. Morelli, and P. Basini (2015). </w:t>
      </w:r>
      <w:r w:rsidRPr="00780D2B">
        <w:rPr>
          <w:rFonts w:ascii="Arial" w:eastAsia="Arial" w:hAnsi="Arial" w:cs="Arial"/>
          <w:sz w:val="24"/>
          <w:szCs w:val="24"/>
        </w:rPr>
        <w:t xml:space="preserve">Development and Testing of a 3D Seismic Velocity Model of the Po Plain Sedimentary Basin, Italy, </w:t>
      </w:r>
      <w:r w:rsidRPr="00780D2B">
        <w:rPr>
          <w:rFonts w:ascii="Arial" w:eastAsia="Arial" w:hAnsi="Arial" w:cs="Arial"/>
          <w:i/>
          <w:iCs/>
          <w:sz w:val="24"/>
          <w:szCs w:val="24"/>
        </w:rPr>
        <w:t>Bulletin of the Seismological Society of America</w:t>
      </w:r>
      <w:r w:rsidRPr="00780D2B">
        <w:rPr>
          <w:rFonts w:ascii="Arial" w:eastAsia="Arial" w:hAnsi="Arial" w:cs="Arial"/>
          <w:sz w:val="24"/>
          <w:szCs w:val="24"/>
        </w:rPr>
        <w:t xml:space="preserve"> </w:t>
      </w:r>
      <w:r w:rsidRPr="00780D2B">
        <w:rPr>
          <w:rFonts w:ascii="Arial" w:eastAsia="Arial" w:hAnsi="Arial" w:cs="Arial"/>
          <w:b/>
          <w:bCs/>
          <w:sz w:val="24"/>
          <w:szCs w:val="24"/>
        </w:rPr>
        <w:t>105</w:t>
      </w:r>
      <w:r w:rsidRPr="00780D2B">
        <w:rPr>
          <w:rFonts w:ascii="Arial" w:eastAsia="Arial" w:hAnsi="Arial" w:cs="Arial"/>
          <w:sz w:val="24"/>
          <w:szCs w:val="24"/>
        </w:rPr>
        <w:t xml:space="preserve">, no. 2A, 753–764, </w:t>
      </w:r>
      <w:proofErr w:type="spellStart"/>
      <w:r w:rsidRPr="00780D2B">
        <w:rPr>
          <w:rFonts w:ascii="Arial" w:eastAsia="Arial" w:hAnsi="Arial" w:cs="Arial"/>
          <w:sz w:val="24"/>
          <w:szCs w:val="24"/>
        </w:rPr>
        <w:t>doi</w:t>
      </w:r>
      <w:proofErr w:type="spellEnd"/>
      <w:r w:rsidRPr="00780D2B">
        <w:rPr>
          <w:rFonts w:ascii="Arial" w:eastAsia="Arial" w:hAnsi="Arial" w:cs="Arial"/>
          <w:sz w:val="24"/>
          <w:szCs w:val="24"/>
        </w:rPr>
        <w:t>:</w:t>
      </w:r>
      <w:hyperlink r:id="rId90">
        <w:r w:rsidR="007D17B2" w:rsidRPr="00780D2B">
          <w:rPr>
            <w:rFonts w:ascii="Arial" w:eastAsia="Arial" w:hAnsi="Arial" w:cs="Arial"/>
            <w:sz w:val="24"/>
            <w:szCs w:val="24"/>
          </w:rPr>
          <w:t xml:space="preserve"> </w:t>
        </w:r>
      </w:hyperlink>
      <w:hyperlink r:id="rId91">
        <w:r w:rsidR="007D17B2" w:rsidRPr="00780D2B">
          <w:rPr>
            <w:rFonts w:ascii="Arial" w:eastAsia="Arial" w:hAnsi="Arial" w:cs="Arial"/>
            <w:color w:val="1155CC"/>
            <w:sz w:val="24"/>
            <w:szCs w:val="24"/>
            <w:u w:val="single"/>
          </w:rPr>
          <w:t>10.1785/0120140204</w:t>
        </w:r>
      </w:hyperlink>
      <w:r w:rsidRPr="00780D2B">
        <w:rPr>
          <w:rFonts w:ascii="Arial" w:eastAsia="Arial" w:hAnsi="Arial" w:cs="Arial"/>
          <w:sz w:val="24"/>
          <w:szCs w:val="24"/>
        </w:rPr>
        <w:t>.</w:t>
      </w:r>
    </w:p>
    <w:p w14:paraId="761DE7D1" w14:textId="77777777" w:rsidR="007D17B2" w:rsidRPr="00780D2B" w:rsidRDefault="00000000">
      <w:pPr>
        <w:spacing w:before="240" w:after="120" w:line="480" w:lineRule="auto"/>
        <w:jc w:val="both"/>
        <w:rPr>
          <w:rFonts w:ascii="Arial" w:eastAsia="Arial" w:hAnsi="Arial" w:cs="Arial"/>
          <w:sz w:val="24"/>
          <w:szCs w:val="24"/>
        </w:rPr>
      </w:pPr>
      <w:proofErr w:type="spellStart"/>
      <w:r w:rsidRPr="00780D2B">
        <w:rPr>
          <w:rFonts w:ascii="Arial" w:eastAsia="Arial" w:hAnsi="Arial" w:cs="Arial"/>
          <w:sz w:val="24"/>
          <w:szCs w:val="24"/>
        </w:rPr>
        <w:t>Parolai</w:t>
      </w:r>
      <w:proofErr w:type="spellEnd"/>
      <w:r w:rsidRPr="00780D2B">
        <w:rPr>
          <w:rFonts w:ascii="Arial" w:eastAsia="Arial" w:hAnsi="Arial" w:cs="Arial"/>
          <w:sz w:val="24"/>
          <w:szCs w:val="24"/>
        </w:rPr>
        <w:t xml:space="preserve">, S., A. Ansal, A. Kurtulus, A. Strollo, R. Wang, and J. Zschau (2009). The </w:t>
      </w:r>
      <w:proofErr w:type="spellStart"/>
      <w:r w:rsidRPr="00780D2B">
        <w:rPr>
          <w:rFonts w:ascii="Arial" w:eastAsia="Arial" w:hAnsi="Arial" w:cs="Arial"/>
          <w:sz w:val="24"/>
          <w:szCs w:val="24"/>
        </w:rPr>
        <w:t>Ataköy</w:t>
      </w:r>
      <w:proofErr w:type="spellEnd"/>
      <w:r w:rsidRPr="00780D2B">
        <w:rPr>
          <w:rFonts w:ascii="Arial" w:eastAsia="Arial" w:hAnsi="Arial" w:cs="Arial"/>
          <w:sz w:val="24"/>
          <w:szCs w:val="24"/>
        </w:rPr>
        <w:t xml:space="preserve"> vertical array (Turkey): insights into seismic wave propagation in the shallow-most crustal layers by waveform deconvolution, </w:t>
      </w:r>
      <w:r w:rsidRPr="00780D2B">
        <w:rPr>
          <w:rFonts w:ascii="Arial" w:eastAsia="Arial" w:hAnsi="Arial" w:cs="Arial"/>
          <w:i/>
          <w:iCs/>
          <w:sz w:val="24"/>
          <w:szCs w:val="24"/>
        </w:rPr>
        <w:t>Geophysical Journal International</w:t>
      </w:r>
      <w:r w:rsidRPr="00780D2B">
        <w:rPr>
          <w:rFonts w:ascii="Arial" w:eastAsia="Arial" w:hAnsi="Arial" w:cs="Arial"/>
          <w:sz w:val="24"/>
          <w:szCs w:val="24"/>
        </w:rPr>
        <w:t xml:space="preserve"> </w:t>
      </w:r>
      <w:r w:rsidRPr="00780D2B">
        <w:rPr>
          <w:rFonts w:ascii="Arial" w:eastAsia="Arial" w:hAnsi="Arial" w:cs="Arial"/>
          <w:b/>
          <w:bCs/>
          <w:sz w:val="24"/>
          <w:szCs w:val="24"/>
        </w:rPr>
        <w:t>178</w:t>
      </w:r>
      <w:r w:rsidRPr="00780D2B">
        <w:rPr>
          <w:rFonts w:ascii="Arial" w:eastAsia="Arial" w:hAnsi="Arial" w:cs="Arial"/>
          <w:sz w:val="24"/>
          <w:szCs w:val="24"/>
        </w:rPr>
        <w:t xml:space="preserve">, no. 3, 1649–1662, </w:t>
      </w:r>
      <w:proofErr w:type="spellStart"/>
      <w:r w:rsidRPr="00780D2B">
        <w:rPr>
          <w:rFonts w:ascii="Arial" w:eastAsia="Arial" w:hAnsi="Arial" w:cs="Arial"/>
          <w:sz w:val="24"/>
          <w:szCs w:val="24"/>
        </w:rPr>
        <w:t>doi</w:t>
      </w:r>
      <w:proofErr w:type="spellEnd"/>
      <w:r w:rsidRPr="00780D2B">
        <w:rPr>
          <w:rFonts w:ascii="Arial" w:eastAsia="Arial" w:hAnsi="Arial" w:cs="Arial"/>
          <w:sz w:val="24"/>
          <w:szCs w:val="24"/>
        </w:rPr>
        <w:t>:</w:t>
      </w:r>
      <w:hyperlink r:id="rId92">
        <w:r w:rsidR="007D17B2" w:rsidRPr="00780D2B">
          <w:rPr>
            <w:rFonts w:ascii="Arial" w:eastAsia="Arial" w:hAnsi="Arial" w:cs="Arial"/>
            <w:sz w:val="24"/>
            <w:szCs w:val="24"/>
          </w:rPr>
          <w:t xml:space="preserve"> </w:t>
        </w:r>
      </w:hyperlink>
      <w:hyperlink r:id="rId93">
        <w:r w:rsidR="007D17B2" w:rsidRPr="00780D2B">
          <w:rPr>
            <w:rFonts w:ascii="Arial" w:eastAsia="Arial" w:hAnsi="Arial" w:cs="Arial"/>
            <w:color w:val="1155CC"/>
            <w:sz w:val="24"/>
            <w:szCs w:val="24"/>
            <w:u w:val="single"/>
          </w:rPr>
          <w:t>10.1111/j.1365-246X.2009.04257.x</w:t>
        </w:r>
      </w:hyperlink>
      <w:r w:rsidRPr="00780D2B">
        <w:rPr>
          <w:rFonts w:ascii="Arial" w:eastAsia="Arial" w:hAnsi="Arial" w:cs="Arial"/>
          <w:sz w:val="24"/>
          <w:szCs w:val="24"/>
        </w:rPr>
        <w:t>.</w:t>
      </w:r>
    </w:p>
    <w:p w14:paraId="74532D2A" w14:textId="77777777" w:rsidR="007D17B2" w:rsidRPr="00780D2B" w:rsidRDefault="00000000">
      <w:pPr>
        <w:spacing w:before="240" w:after="120" w:line="480" w:lineRule="auto"/>
        <w:jc w:val="both"/>
        <w:rPr>
          <w:rFonts w:ascii="Arial" w:eastAsia="Arial" w:hAnsi="Arial" w:cs="Arial"/>
          <w:sz w:val="24"/>
          <w:szCs w:val="24"/>
        </w:rPr>
      </w:pPr>
      <w:r w:rsidRPr="00780D2B">
        <w:rPr>
          <w:rFonts w:ascii="Arial" w:eastAsia="Arial" w:hAnsi="Arial" w:cs="Arial"/>
          <w:sz w:val="24"/>
          <w:szCs w:val="24"/>
        </w:rPr>
        <w:t>Peterson, J. R. (1993). Observations and Modeling of Seismic Background Noise, Open-File Report, U.S. Geological Survey, Open-File Report.</w:t>
      </w:r>
    </w:p>
    <w:p w14:paraId="35F8A85B" w14:textId="77777777" w:rsidR="007D17B2" w:rsidRPr="00780D2B" w:rsidRDefault="00000000">
      <w:pPr>
        <w:spacing w:before="240" w:after="120" w:line="480" w:lineRule="auto"/>
        <w:jc w:val="both"/>
        <w:rPr>
          <w:rFonts w:ascii="Arial" w:eastAsia="Arial" w:hAnsi="Arial" w:cs="Arial"/>
          <w:sz w:val="24"/>
          <w:szCs w:val="24"/>
        </w:rPr>
      </w:pPr>
      <w:r w:rsidRPr="00780D2B">
        <w:rPr>
          <w:rFonts w:ascii="Arial" w:eastAsia="Arial" w:hAnsi="Arial" w:cs="Arial"/>
          <w:sz w:val="24"/>
          <w:szCs w:val="24"/>
        </w:rPr>
        <w:t xml:space="preserve">Petrovic, B., and S. </w:t>
      </w:r>
      <w:proofErr w:type="spellStart"/>
      <w:r w:rsidRPr="00780D2B">
        <w:rPr>
          <w:rFonts w:ascii="Arial" w:eastAsia="Arial" w:hAnsi="Arial" w:cs="Arial"/>
          <w:sz w:val="24"/>
          <w:szCs w:val="24"/>
        </w:rPr>
        <w:t>Parolai</w:t>
      </w:r>
      <w:proofErr w:type="spellEnd"/>
      <w:r w:rsidRPr="00780D2B">
        <w:rPr>
          <w:rFonts w:ascii="Arial" w:eastAsia="Arial" w:hAnsi="Arial" w:cs="Arial"/>
          <w:sz w:val="24"/>
          <w:szCs w:val="24"/>
        </w:rPr>
        <w:t xml:space="preserve"> (2016). Joint Deconvolution of Building and Downhole Strong</w:t>
      </w:r>
      <w:r w:rsidRPr="00780D2B">
        <w:rPr>
          <w:rFonts w:ascii="Cambria Math" w:eastAsia="Cambria Math" w:hAnsi="Cambria Math" w:cs="Cambria Math"/>
          <w:sz w:val="24"/>
          <w:szCs w:val="24"/>
        </w:rPr>
        <w:t>‐</w:t>
      </w:r>
      <w:r w:rsidRPr="00780D2B">
        <w:rPr>
          <w:rFonts w:ascii="Arial" w:eastAsia="Arial" w:hAnsi="Arial" w:cs="Arial"/>
          <w:sz w:val="24"/>
          <w:szCs w:val="24"/>
        </w:rPr>
        <w:t xml:space="preserve">Motion Recordings: Evidence for the Seismic Wavefield Being Radiated Back into the Shallow Geological Layers, </w:t>
      </w:r>
      <w:r w:rsidRPr="00780D2B">
        <w:rPr>
          <w:rFonts w:ascii="Arial" w:eastAsia="Arial" w:hAnsi="Arial" w:cs="Arial"/>
          <w:i/>
          <w:iCs/>
          <w:sz w:val="24"/>
          <w:szCs w:val="24"/>
        </w:rPr>
        <w:t>Bulletin of the Seismological Society of America</w:t>
      </w:r>
      <w:r w:rsidRPr="00780D2B">
        <w:rPr>
          <w:rFonts w:ascii="Arial" w:eastAsia="Arial" w:hAnsi="Arial" w:cs="Arial"/>
          <w:sz w:val="24"/>
          <w:szCs w:val="24"/>
        </w:rPr>
        <w:t xml:space="preserve"> </w:t>
      </w:r>
      <w:r w:rsidRPr="00780D2B">
        <w:rPr>
          <w:rFonts w:ascii="Arial" w:eastAsia="Arial" w:hAnsi="Arial" w:cs="Arial"/>
          <w:b/>
          <w:bCs/>
          <w:sz w:val="24"/>
          <w:szCs w:val="24"/>
        </w:rPr>
        <w:t>106</w:t>
      </w:r>
      <w:r w:rsidRPr="00780D2B">
        <w:rPr>
          <w:rFonts w:ascii="Arial" w:eastAsia="Arial" w:hAnsi="Arial" w:cs="Arial"/>
          <w:sz w:val="24"/>
          <w:szCs w:val="24"/>
        </w:rPr>
        <w:t xml:space="preserve">, no. 4, 1720–1732, </w:t>
      </w:r>
      <w:proofErr w:type="spellStart"/>
      <w:r w:rsidRPr="00780D2B">
        <w:rPr>
          <w:rFonts w:ascii="Arial" w:eastAsia="Arial" w:hAnsi="Arial" w:cs="Arial"/>
          <w:sz w:val="24"/>
          <w:szCs w:val="24"/>
        </w:rPr>
        <w:t>doi</w:t>
      </w:r>
      <w:proofErr w:type="spellEnd"/>
      <w:r w:rsidRPr="00780D2B">
        <w:rPr>
          <w:rFonts w:ascii="Arial" w:eastAsia="Arial" w:hAnsi="Arial" w:cs="Arial"/>
          <w:sz w:val="24"/>
          <w:szCs w:val="24"/>
        </w:rPr>
        <w:t>:</w:t>
      </w:r>
      <w:hyperlink r:id="rId94">
        <w:r w:rsidR="007D17B2" w:rsidRPr="00780D2B">
          <w:rPr>
            <w:rFonts w:ascii="Arial" w:eastAsia="Arial" w:hAnsi="Arial" w:cs="Arial"/>
            <w:sz w:val="24"/>
            <w:szCs w:val="24"/>
          </w:rPr>
          <w:t xml:space="preserve"> </w:t>
        </w:r>
      </w:hyperlink>
      <w:hyperlink r:id="rId95">
        <w:r w:rsidR="007D17B2" w:rsidRPr="00780D2B">
          <w:rPr>
            <w:rFonts w:ascii="Arial" w:eastAsia="Arial" w:hAnsi="Arial" w:cs="Arial"/>
            <w:color w:val="1155CC"/>
            <w:sz w:val="24"/>
            <w:szCs w:val="24"/>
            <w:u w:val="single"/>
          </w:rPr>
          <w:t>10.1785/0120150326</w:t>
        </w:r>
      </w:hyperlink>
      <w:r w:rsidRPr="00780D2B">
        <w:rPr>
          <w:rFonts w:ascii="Arial" w:eastAsia="Arial" w:hAnsi="Arial" w:cs="Arial"/>
          <w:sz w:val="24"/>
          <w:szCs w:val="24"/>
        </w:rPr>
        <w:t>.</w:t>
      </w:r>
    </w:p>
    <w:p w14:paraId="1F5F8DE4" w14:textId="77777777" w:rsidR="007D17B2" w:rsidRPr="00780D2B" w:rsidRDefault="00000000">
      <w:pPr>
        <w:spacing w:before="240" w:after="120" w:line="480" w:lineRule="auto"/>
        <w:jc w:val="both"/>
        <w:rPr>
          <w:rFonts w:ascii="Arial" w:eastAsia="Arial" w:hAnsi="Arial" w:cs="Arial"/>
          <w:sz w:val="24"/>
          <w:szCs w:val="24"/>
        </w:rPr>
      </w:pPr>
      <w:r w:rsidRPr="00780D2B">
        <w:rPr>
          <w:rFonts w:ascii="Arial" w:eastAsia="Arial" w:hAnsi="Arial" w:cs="Arial"/>
          <w:sz w:val="24"/>
          <w:szCs w:val="24"/>
          <w:lang w:val="it-IT"/>
        </w:rPr>
        <w:t xml:space="preserve">Petrovic, B., S. Parolai, G. Pianese, S. U. Dikmen, B. Moldobekov, S. Orunbaev, and R. Paolucci (2018). </w:t>
      </w:r>
      <w:r w:rsidRPr="00780D2B">
        <w:rPr>
          <w:rFonts w:ascii="Arial" w:eastAsia="Arial" w:hAnsi="Arial" w:cs="Arial"/>
          <w:sz w:val="24"/>
          <w:szCs w:val="24"/>
        </w:rPr>
        <w:t xml:space="preserve">Joint deconvolution of building and downhole seismic recordings: an </w:t>
      </w:r>
      <w:r w:rsidRPr="00780D2B">
        <w:rPr>
          <w:rFonts w:ascii="Arial" w:eastAsia="Arial" w:hAnsi="Arial" w:cs="Arial"/>
          <w:sz w:val="24"/>
          <w:szCs w:val="24"/>
        </w:rPr>
        <w:lastRenderedPageBreak/>
        <w:t xml:space="preserve">application to three test cases, </w:t>
      </w:r>
      <w:r w:rsidRPr="00780D2B">
        <w:rPr>
          <w:rFonts w:ascii="Arial" w:eastAsia="Arial" w:hAnsi="Arial" w:cs="Arial"/>
          <w:i/>
          <w:iCs/>
          <w:sz w:val="24"/>
          <w:szCs w:val="24"/>
        </w:rPr>
        <w:t>Bull Earthquake Eng</w:t>
      </w:r>
      <w:r w:rsidRPr="00780D2B">
        <w:rPr>
          <w:rFonts w:ascii="Arial" w:eastAsia="Arial" w:hAnsi="Arial" w:cs="Arial"/>
          <w:sz w:val="24"/>
          <w:szCs w:val="24"/>
        </w:rPr>
        <w:t xml:space="preserve"> </w:t>
      </w:r>
      <w:r w:rsidRPr="00780D2B">
        <w:rPr>
          <w:rFonts w:ascii="Arial" w:eastAsia="Arial" w:hAnsi="Arial" w:cs="Arial"/>
          <w:b/>
          <w:bCs/>
          <w:sz w:val="24"/>
          <w:szCs w:val="24"/>
        </w:rPr>
        <w:t>16</w:t>
      </w:r>
      <w:r w:rsidRPr="00780D2B">
        <w:rPr>
          <w:rFonts w:ascii="Arial" w:eastAsia="Arial" w:hAnsi="Arial" w:cs="Arial"/>
          <w:sz w:val="24"/>
          <w:szCs w:val="24"/>
        </w:rPr>
        <w:t xml:space="preserve">, no. 2, 613–641, </w:t>
      </w:r>
      <w:proofErr w:type="spellStart"/>
      <w:r w:rsidRPr="00780D2B">
        <w:rPr>
          <w:rFonts w:ascii="Arial" w:eastAsia="Arial" w:hAnsi="Arial" w:cs="Arial"/>
          <w:sz w:val="24"/>
          <w:szCs w:val="24"/>
        </w:rPr>
        <w:t>doi</w:t>
      </w:r>
      <w:proofErr w:type="spellEnd"/>
      <w:r w:rsidRPr="00780D2B">
        <w:rPr>
          <w:rFonts w:ascii="Arial" w:eastAsia="Arial" w:hAnsi="Arial" w:cs="Arial"/>
          <w:sz w:val="24"/>
          <w:szCs w:val="24"/>
        </w:rPr>
        <w:t>:</w:t>
      </w:r>
      <w:hyperlink r:id="rId96">
        <w:r w:rsidR="007D17B2" w:rsidRPr="00780D2B">
          <w:rPr>
            <w:rFonts w:ascii="Arial" w:eastAsia="Arial" w:hAnsi="Arial" w:cs="Arial"/>
            <w:sz w:val="24"/>
            <w:szCs w:val="24"/>
          </w:rPr>
          <w:t xml:space="preserve"> </w:t>
        </w:r>
      </w:hyperlink>
      <w:hyperlink r:id="rId97">
        <w:r w:rsidR="007D17B2" w:rsidRPr="00780D2B">
          <w:rPr>
            <w:rFonts w:ascii="Arial" w:eastAsia="Arial" w:hAnsi="Arial" w:cs="Arial"/>
            <w:color w:val="1155CC"/>
            <w:sz w:val="24"/>
            <w:szCs w:val="24"/>
            <w:u w:val="single"/>
          </w:rPr>
          <w:t>10.1007/s10518-017-0215-6</w:t>
        </w:r>
      </w:hyperlink>
      <w:r w:rsidRPr="00780D2B">
        <w:rPr>
          <w:rFonts w:ascii="Arial" w:eastAsia="Arial" w:hAnsi="Arial" w:cs="Arial"/>
          <w:sz w:val="24"/>
          <w:szCs w:val="24"/>
        </w:rPr>
        <w:t>.</w:t>
      </w:r>
    </w:p>
    <w:p w14:paraId="2FD32DB5" w14:textId="77777777" w:rsidR="007D17B2" w:rsidRPr="00780D2B" w:rsidRDefault="00000000">
      <w:pPr>
        <w:spacing w:before="240" w:after="120" w:line="480" w:lineRule="auto"/>
        <w:jc w:val="both"/>
        <w:rPr>
          <w:rFonts w:ascii="Arial" w:eastAsia="Arial" w:hAnsi="Arial" w:cs="Arial"/>
          <w:sz w:val="24"/>
          <w:szCs w:val="24"/>
          <w:lang w:val="it-IT"/>
        </w:rPr>
      </w:pPr>
      <w:r w:rsidRPr="00780D2B">
        <w:rPr>
          <w:rFonts w:ascii="Arial" w:eastAsia="Arial" w:hAnsi="Arial" w:cs="Arial"/>
          <w:sz w:val="24"/>
          <w:szCs w:val="24"/>
          <w:lang w:val="it-IT"/>
        </w:rPr>
        <w:t xml:space="preserve">Petrovic, B., S. Parolai, M. Romanelli, A. Affatato, L. Petronio, A. Barbagallo, D. Sorgo, M. Stefani, and R. Caputo (2019). Un approccio innovativo per una migliore comprensione dell’interazione sismica tra suolo e strutture: il test site di Ferrara, </w:t>
      </w:r>
      <w:r w:rsidRPr="00780D2B">
        <w:rPr>
          <w:rFonts w:ascii="Arial" w:eastAsia="Arial" w:hAnsi="Arial" w:cs="Arial"/>
          <w:i/>
          <w:iCs/>
          <w:sz w:val="24"/>
          <w:szCs w:val="24"/>
          <w:lang w:val="it-IT"/>
        </w:rPr>
        <w:t>Bollettino di Geofisica Teorica ed Applicata</w:t>
      </w:r>
      <w:r w:rsidRPr="00780D2B">
        <w:rPr>
          <w:rFonts w:ascii="Arial" w:eastAsia="Arial" w:hAnsi="Arial" w:cs="Arial"/>
          <w:sz w:val="24"/>
          <w:szCs w:val="24"/>
          <w:lang w:val="it-IT"/>
        </w:rPr>
        <w:t xml:space="preserve"> </w:t>
      </w:r>
      <w:r w:rsidRPr="00780D2B">
        <w:rPr>
          <w:rFonts w:ascii="Arial" w:eastAsia="Arial" w:hAnsi="Arial" w:cs="Arial"/>
          <w:b/>
          <w:bCs/>
          <w:sz w:val="24"/>
          <w:szCs w:val="24"/>
          <w:lang w:val="it-IT"/>
        </w:rPr>
        <w:t>60</w:t>
      </w:r>
      <w:r w:rsidRPr="00780D2B">
        <w:rPr>
          <w:rFonts w:ascii="Arial" w:eastAsia="Arial" w:hAnsi="Arial" w:cs="Arial"/>
          <w:sz w:val="24"/>
          <w:szCs w:val="24"/>
          <w:lang w:val="it-IT"/>
        </w:rPr>
        <w:t>, 140–147.</w:t>
      </w:r>
    </w:p>
    <w:p w14:paraId="538D5657" w14:textId="77777777" w:rsidR="007D17B2" w:rsidRPr="00780D2B" w:rsidRDefault="00000000">
      <w:pPr>
        <w:spacing w:before="240" w:after="120" w:line="480" w:lineRule="auto"/>
        <w:jc w:val="both"/>
        <w:rPr>
          <w:rFonts w:ascii="Arial" w:eastAsia="Arial" w:hAnsi="Arial" w:cs="Arial"/>
          <w:sz w:val="24"/>
          <w:szCs w:val="24"/>
        </w:rPr>
      </w:pPr>
      <w:r w:rsidRPr="00780D2B">
        <w:rPr>
          <w:rFonts w:ascii="Arial" w:eastAsia="Arial" w:hAnsi="Arial" w:cs="Arial"/>
          <w:sz w:val="24"/>
          <w:szCs w:val="24"/>
        </w:rPr>
        <w:t xml:space="preserve">Petrovic, B., C. Scaini, and S. </w:t>
      </w:r>
      <w:proofErr w:type="spellStart"/>
      <w:r w:rsidRPr="00780D2B">
        <w:rPr>
          <w:rFonts w:ascii="Arial" w:eastAsia="Arial" w:hAnsi="Arial" w:cs="Arial"/>
          <w:sz w:val="24"/>
          <w:szCs w:val="24"/>
        </w:rPr>
        <w:t>Parolai</w:t>
      </w:r>
      <w:proofErr w:type="spellEnd"/>
      <w:r w:rsidRPr="00780D2B">
        <w:rPr>
          <w:rFonts w:ascii="Arial" w:eastAsia="Arial" w:hAnsi="Arial" w:cs="Arial"/>
          <w:sz w:val="24"/>
          <w:szCs w:val="24"/>
        </w:rPr>
        <w:t xml:space="preserve"> (2022). Applying the damage assessment for rapid response approach to the august 24 M6 event of the seismic sequence in central Italy (2016), </w:t>
      </w:r>
      <w:r w:rsidRPr="00780D2B">
        <w:rPr>
          <w:rFonts w:ascii="Arial" w:eastAsia="Arial" w:hAnsi="Arial" w:cs="Arial"/>
          <w:i/>
          <w:iCs/>
          <w:sz w:val="24"/>
          <w:szCs w:val="24"/>
        </w:rPr>
        <w:t>Front. Earth Sci.</w:t>
      </w:r>
      <w:r w:rsidRPr="00780D2B">
        <w:rPr>
          <w:rFonts w:ascii="Arial" w:eastAsia="Arial" w:hAnsi="Arial" w:cs="Arial"/>
          <w:sz w:val="24"/>
          <w:szCs w:val="24"/>
        </w:rPr>
        <w:t xml:space="preserve"> </w:t>
      </w:r>
      <w:r w:rsidRPr="00780D2B">
        <w:rPr>
          <w:rFonts w:ascii="Arial" w:eastAsia="Arial" w:hAnsi="Arial" w:cs="Arial"/>
          <w:b/>
          <w:bCs/>
          <w:sz w:val="24"/>
          <w:szCs w:val="24"/>
        </w:rPr>
        <w:t>10</w:t>
      </w:r>
      <w:r w:rsidRPr="00780D2B">
        <w:rPr>
          <w:rFonts w:ascii="Arial" w:eastAsia="Arial" w:hAnsi="Arial" w:cs="Arial"/>
          <w:sz w:val="24"/>
          <w:szCs w:val="24"/>
        </w:rPr>
        <w:t xml:space="preserve">, 932110, </w:t>
      </w:r>
      <w:proofErr w:type="spellStart"/>
      <w:r w:rsidRPr="00780D2B">
        <w:rPr>
          <w:rFonts w:ascii="Arial" w:eastAsia="Arial" w:hAnsi="Arial" w:cs="Arial"/>
          <w:sz w:val="24"/>
          <w:szCs w:val="24"/>
        </w:rPr>
        <w:t>doi</w:t>
      </w:r>
      <w:proofErr w:type="spellEnd"/>
      <w:r w:rsidRPr="00780D2B">
        <w:rPr>
          <w:rFonts w:ascii="Arial" w:eastAsia="Arial" w:hAnsi="Arial" w:cs="Arial"/>
          <w:sz w:val="24"/>
          <w:szCs w:val="24"/>
        </w:rPr>
        <w:t>:</w:t>
      </w:r>
      <w:hyperlink r:id="rId98">
        <w:r w:rsidR="007D17B2" w:rsidRPr="00780D2B">
          <w:rPr>
            <w:rFonts w:ascii="Arial" w:eastAsia="Arial" w:hAnsi="Arial" w:cs="Arial"/>
            <w:sz w:val="24"/>
            <w:szCs w:val="24"/>
          </w:rPr>
          <w:t xml:space="preserve"> </w:t>
        </w:r>
      </w:hyperlink>
      <w:hyperlink r:id="rId99">
        <w:r w:rsidR="007D17B2" w:rsidRPr="00780D2B">
          <w:rPr>
            <w:rFonts w:ascii="Arial" w:eastAsia="Arial" w:hAnsi="Arial" w:cs="Arial"/>
            <w:color w:val="1155CC"/>
            <w:sz w:val="24"/>
            <w:szCs w:val="24"/>
            <w:u w:val="single"/>
          </w:rPr>
          <w:t>10.3389/feart.2022.932110</w:t>
        </w:r>
      </w:hyperlink>
      <w:r w:rsidRPr="00780D2B">
        <w:rPr>
          <w:rFonts w:ascii="Arial" w:eastAsia="Arial" w:hAnsi="Arial" w:cs="Arial"/>
          <w:sz w:val="24"/>
          <w:szCs w:val="24"/>
        </w:rPr>
        <w:t>.</w:t>
      </w:r>
    </w:p>
    <w:p w14:paraId="70361C6C" w14:textId="77777777" w:rsidR="007D17B2" w:rsidRPr="00780D2B" w:rsidRDefault="00000000">
      <w:pPr>
        <w:spacing w:before="240" w:after="120" w:line="480" w:lineRule="auto"/>
        <w:jc w:val="both"/>
        <w:rPr>
          <w:rFonts w:ascii="Arial" w:eastAsia="Arial" w:hAnsi="Arial" w:cs="Arial"/>
          <w:sz w:val="24"/>
          <w:szCs w:val="24"/>
        </w:rPr>
      </w:pPr>
      <w:r w:rsidRPr="00780D2B">
        <w:rPr>
          <w:rFonts w:ascii="Arial" w:eastAsia="Arial" w:hAnsi="Arial" w:cs="Arial"/>
          <w:sz w:val="24"/>
          <w:szCs w:val="24"/>
        </w:rPr>
        <w:t xml:space="preserve">Pitilakis, K., S. </w:t>
      </w:r>
      <w:proofErr w:type="spellStart"/>
      <w:r w:rsidRPr="00780D2B">
        <w:rPr>
          <w:rFonts w:ascii="Arial" w:eastAsia="Arial" w:hAnsi="Arial" w:cs="Arial"/>
          <w:sz w:val="24"/>
          <w:szCs w:val="24"/>
        </w:rPr>
        <w:t>Karapetrou</w:t>
      </w:r>
      <w:proofErr w:type="spellEnd"/>
      <w:r w:rsidRPr="00780D2B">
        <w:rPr>
          <w:rFonts w:ascii="Arial" w:eastAsia="Arial" w:hAnsi="Arial" w:cs="Arial"/>
          <w:sz w:val="24"/>
          <w:szCs w:val="24"/>
        </w:rPr>
        <w:t xml:space="preserve">, D. Bindi, M. Manakou, B. Petrovic, Z. Roumelioti, T. Boxberger, and S. </w:t>
      </w:r>
      <w:proofErr w:type="spellStart"/>
      <w:r w:rsidRPr="00780D2B">
        <w:rPr>
          <w:rFonts w:ascii="Arial" w:eastAsia="Arial" w:hAnsi="Arial" w:cs="Arial"/>
          <w:sz w:val="24"/>
          <w:szCs w:val="24"/>
        </w:rPr>
        <w:t>Parolai</w:t>
      </w:r>
      <w:proofErr w:type="spellEnd"/>
      <w:r w:rsidRPr="00780D2B">
        <w:rPr>
          <w:rFonts w:ascii="Arial" w:eastAsia="Arial" w:hAnsi="Arial" w:cs="Arial"/>
          <w:sz w:val="24"/>
          <w:szCs w:val="24"/>
        </w:rPr>
        <w:t xml:space="preserve"> (2016). Structural monitoring and earthquake early warning systems for the AHEPA hospital in Thessaloniki, </w:t>
      </w:r>
      <w:r w:rsidRPr="00780D2B">
        <w:rPr>
          <w:rFonts w:ascii="Arial" w:eastAsia="Arial" w:hAnsi="Arial" w:cs="Arial"/>
          <w:i/>
          <w:iCs/>
          <w:sz w:val="24"/>
          <w:szCs w:val="24"/>
        </w:rPr>
        <w:t>Bull Earthquake Eng</w:t>
      </w:r>
      <w:r w:rsidRPr="00780D2B">
        <w:rPr>
          <w:rFonts w:ascii="Arial" w:eastAsia="Arial" w:hAnsi="Arial" w:cs="Arial"/>
          <w:sz w:val="24"/>
          <w:szCs w:val="24"/>
        </w:rPr>
        <w:t xml:space="preserve"> </w:t>
      </w:r>
      <w:r w:rsidRPr="00780D2B">
        <w:rPr>
          <w:rFonts w:ascii="Arial" w:eastAsia="Arial" w:hAnsi="Arial" w:cs="Arial"/>
          <w:b/>
          <w:bCs/>
          <w:sz w:val="24"/>
          <w:szCs w:val="24"/>
        </w:rPr>
        <w:t>14</w:t>
      </w:r>
      <w:r w:rsidRPr="00780D2B">
        <w:rPr>
          <w:rFonts w:ascii="Arial" w:eastAsia="Arial" w:hAnsi="Arial" w:cs="Arial"/>
          <w:sz w:val="24"/>
          <w:szCs w:val="24"/>
        </w:rPr>
        <w:t xml:space="preserve">, no. 9, 2543–2563, </w:t>
      </w:r>
      <w:proofErr w:type="spellStart"/>
      <w:r w:rsidRPr="00780D2B">
        <w:rPr>
          <w:rFonts w:ascii="Arial" w:eastAsia="Arial" w:hAnsi="Arial" w:cs="Arial"/>
          <w:sz w:val="24"/>
          <w:szCs w:val="24"/>
        </w:rPr>
        <w:t>doi</w:t>
      </w:r>
      <w:proofErr w:type="spellEnd"/>
      <w:r w:rsidRPr="00780D2B">
        <w:rPr>
          <w:rFonts w:ascii="Arial" w:eastAsia="Arial" w:hAnsi="Arial" w:cs="Arial"/>
          <w:sz w:val="24"/>
          <w:szCs w:val="24"/>
        </w:rPr>
        <w:t>:</w:t>
      </w:r>
      <w:hyperlink r:id="rId100">
        <w:r w:rsidR="007D17B2" w:rsidRPr="00780D2B">
          <w:rPr>
            <w:rFonts w:ascii="Arial" w:eastAsia="Arial" w:hAnsi="Arial" w:cs="Arial"/>
            <w:sz w:val="24"/>
            <w:szCs w:val="24"/>
          </w:rPr>
          <w:t xml:space="preserve"> </w:t>
        </w:r>
      </w:hyperlink>
      <w:hyperlink r:id="rId101">
        <w:r w:rsidR="007D17B2" w:rsidRPr="00780D2B">
          <w:rPr>
            <w:rFonts w:ascii="Arial" w:eastAsia="Arial" w:hAnsi="Arial" w:cs="Arial"/>
            <w:color w:val="1155CC"/>
            <w:sz w:val="24"/>
            <w:szCs w:val="24"/>
            <w:u w:val="single"/>
          </w:rPr>
          <w:t>10.1007/s10518-016-9916-5</w:t>
        </w:r>
      </w:hyperlink>
      <w:r w:rsidRPr="00780D2B">
        <w:rPr>
          <w:rFonts w:ascii="Arial" w:eastAsia="Arial" w:hAnsi="Arial" w:cs="Arial"/>
          <w:sz w:val="24"/>
          <w:szCs w:val="24"/>
        </w:rPr>
        <w:t>.</w:t>
      </w:r>
    </w:p>
    <w:p w14:paraId="66ED4CC0" w14:textId="77777777" w:rsidR="007D17B2" w:rsidRPr="00780D2B" w:rsidRDefault="00000000">
      <w:pPr>
        <w:spacing w:before="240" w:after="120" w:line="480" w:lineRule="auto"/>
        <w:jc w:val="both"/>
        <w:rPr>
          <w:rFonts w:ascii="Arial" w:eastAsia="Arial" w:hAnsi="Arial" w:cs="Arial"/>
          <w:sz w:val="24"/>
          <w:szCs w:val="24"/>
        </w:rPr>
      </w:pPr>
      <w:r w:rsidRPr="00780D2B">
        <w:rPr>
          <w:rFonts w:ascii="Arial" w:eastAsia="Arial" w:hAnsi="Arial" w:cs="Arial"/>
          <w:sz w:val="24"/>
          <w:szCs w:val="24"/>
        </w:rPr>
        <w:t xml:space="preserve">Rahmani, M., and M. I. </w:t>
      </w:r>
      <w:proofErr w:type="spellStart"/>
      <w:r w:rsidRPr="00780D2B">
        <w:rPr>
          <w:rFonts w:ascii="Arial" w:eastAsia="Arial" w:hAnsi="Arial" w:cs="Arial"/>
          <w:sz w:val="24"/>
          <w:szCs w:val="24"/>
        </w:rPr>
        <w:t>Todorovska</w:t>
      </w:r>
      <w:proofErr w:type="spellEnd"/>
      <w:r w:rsidRPr="00780D2B">
        <w:rPr>
          <w:rFonts w:ascii="Arial" w:eastAsia="Arial" w:hAnsi="Arial" w:cs="Arial"/>
          <w:sz w:val="24"/>
          <w:szCs w:val="24"/>
        </w:rPr>
        <w:t xml:space="preserve"> (2013). 1D system identification of buildings during earthquakes by seismic interferometry with waveform inversion of impulse responses—method and application to Millikan library, </w:t>
      </w:r>
      <w:r w:rsidRPr="00780D2B">
        <w:rPr>
          <w:rFonts w:ascii="Arial" w:eastAsia="Arial" w:hAnsi="Arial" w:cs="Arial"/>
          <w:i/>
          <w:iCs/>
          <w:sz w:val="24"/>
          <w:szCs w:val="24"/>
        </w:rPr>
        <w:t>Soil Dynamics and Earthquake Engineering</w:t>
      </w:r>
      <w:r w:rsidRPr="00780D2B">
        <w:rPr>
          <w:rFonts w:ascii="Arial" w:eastAsia="Arial" w:hAnsi="Arial" w:cs="Arial"/>
          <w:sz w:val="24"/>
          <w:szCs w:val="24"/>
        </w:rPr>
        <w:t xml:space="preserve"> </w:t>
      </w:r>
      <w:r w:rsidRPr="00780D2B">
        <w:rPr>
          <w:rFonts w:ascii="Arial" w:eastAsia="Arial" w:hAnsi="Arial" w:cs="Arial"/>
          <w:b/>
          <w:bCs/>
          <w:sz w:val="24"/>
          <w:szCs w:val="24"/>
        </w:rPr>
        <w:t>47</w:t>
      </w:r>
      <w:r w:rsidRPr="00780D2B">
        <w:rPr>
          <w:rFonts w:ascii="Arial" w:eastAsia="Arial" w:hAnsi="Arial" w:cs="Arial"/>
          <w:sz w:val="24"/>
          <w:szCs w:val="24"/>
        </w:rPr>
        <w:t xml:space="preserve">, 157–174, </w:t>
      </w:r>
      <w:proofErr w:type="spellStart"/>
      <w:r w:rsidRPr="00780D2B">
        <w:rPr>
          <w:rFonts w:ascii="Arial" w:eastAsia="Arial" w:hAnsi="Arial" w:cs="Arial"/>
          <w:sz w:val="24"/>
          <w:szCs w:val="24"/>
        </w:rPr>
        <w:t>doi</w:t>
      </w:r>
      <w:proofErr w:type="spellEnd"/>
      <w:r w:rsidRPr="00780D2B">
        <w:rPr>
          <w:rFonts w:ascii="Arial" w:eastAsia="Arial" w:hAnsi="Arial" w:cs="Arial"/>
          <w:sz w:val="24"/>
          <w:szCs w:val="24"/>
        </w:rPr>
        <w:t>:</w:t>
      </w:r>
      <w:hyperlink r:id="rId102">
        <w:r w:rsidR="007D17B2" w:rsidRPr="00780D2B">
          <w:rPr>
            <w:rFonts w:ascii="Arial" w:eastAsia="Arial" w:hAnsi="Arial" w:cs="Arial"/>
            <w:sz w:val="24"/>
            <w:szCs w:val="24"/>
          </w:rPr>
          <w:t xml:space="preserve"> </w:t>
        </w:r>
      </w:hyperlink>
      <w:hyperlink r:id="rId103">
        <w:r w:rsidR="007D17B2" w:rsidRPr="00780D2B">
          <w:rPr>
            <w:rFonts w:ascii="Arial" w:eastAsia="Arial" w:hAnsi="Arial" w:cs="Arial"/>
            <w:color w:val="1155CC"/>
            <w:sz w:val="24"/>
            <w:szCs w:val="24"/>
            <w:u w:val="single"/>
          </w:rPr>
          <w:t>10.1016/j.soildyn.2012.09.014</w:t>
        </w:r>
      </w:hyperlink>
      <w:r w:rsidRPr="00780D2B">
        <w:rPr>
          <w:rFonts w:ascii="Arial" w:eastAsia="Arial" w:hAnsi="Arial" w:cs="Arial"/>
          <w:sz w:val="24"/>
          <w:szCs w:val="24"/>
        </w:rPr>
        <w:t>.</w:t>
      </w:r>
    </w:p>
    <w:p w14:paraId="38A642C8" w14:textId="77777777" w:rsidR="007D17B2" w:rsidRPr="00780D2B" w:rsidRDefault="00000000">
      <w:pPr>
        <w:spacing w:before="240" w:after="120" w:line="480" w:lineRule="auto"/>
        <w:jc w:val="both"/>
        <w:rPr>
          <w:rFonts w:ascii="Arial" w:eastAsia="Arial" w:hAnsi="Arial" w:cs="Arial"/>
          <w:sz w:val="24"/>
          <w:szCs w:val="24"/>
        </w:rPr>
      </w:pPr>
      <w:r w:rsidRPr="00780D2B">
        <w:rPr>
          <w:rFonts w:ascii="Arial" w:eastAsia="Arial" w:hAnsi="Arial" w:cs="Arial"/>
          <w:sz w:val="24"/>
          <w:szCs w:val="24"/>
        </w:rPr>
        <w:t xml:space="preserve">Rahmani, M., and M. I. </w:t>
      </w:r>
      <w:proofErr w:type="spellStart"/>
      <w:r w:rsidRPr="00780D2B">
        <w:rPr>
          <w:rFonts w:ascii="Arial" w:eastAsia="Arial" w:hAnsi="Arial" w:cs="Arial"/>
          <w:sz w:val="24"/>
          <w:szCs w:val="24"/>
        </w:rPr>
        <w:t>Todorovska</w:t>
      </w:r>
      <w:proofErr w:type="spellEnd"/>
      <w:r w:rsidRPr="00780D2B">
        <w:rPr>
          <w:rFonts w:ascii="Arial" w:eastAsia="Arial" w:hAnsi="Arial" w:cs="Arial"/>
          <w:sz w:val="24"/>
          <w:szCs w:val="24"/>
        </w:rPr>
        <w:t xml:space="preserve"> (2021). Structural health monitoring of a 32</w:t>
      </w:r>
      <w:r w:rsidRPr="00780D2B">
        <w:rPr>
          <w:rFonts w:ascii="Cambria Math" w:eastAsia="Cambria Math" w:hAnsi="Cambria Math" w:cs="Cambria Math"/>
          <w:sz w:val="24"/>
          <w:szCs w:val="24"/>
        </w:rPr>
        <w:t>‐</w:t>
      </w:r>
      <w:r w:rsidRPr="00780D2B">
        <w:rPr>
          <w:rFonts w:ascii="Arial" w:eastAsia="Arial" w:hAnsi="Arial" w:cs="Arial"/>
          <w:sz w:val="24"/>
          <w:szCs w:val="24"/>
        </w:rPr>
        <w:t>storey steel</w:t>
      </w:r>
      <w:r w:rsidRPr="00780D2B">
        <w:rPr>
          <w:rFonts w:ascii="Cambria Math" w:eastAsia="Cambria Math" w:hAnsi="Cambria Math" w:cs="Cambria Math"/>
          <w:sz w:val="24"/>
          <w:szCs w:val="24"/>
        </w:rPr>
        <w:t>‐</w:t>
      </w:r>
      <w:r w:rsidRPr="00780D2B">
        <w:rPr>
          <w:rFonts w:ascii="Arial" w:eastAsia="Arial" w:hAnsi="Arial" w:cs="Arial"/>
          <w:sz w:val="24"/>
          <w:szCs w:val="24"/>
        </w:rPr>
        <w:t xml:space="preserve">frame building using 50 years of seismic monitoring data, </w:t>
      </w:r>
      <w:proofErr w:type="spellStart"/>
      <w:r w:rsidRPr="00780D2B">
        <w:rPr>
          <w:rFonts w:ascii="Arial" w:eastAsia="Arial" w:hAnsi="Arial" w:cs="Arial"/>
          <w:i/>
          <w:iCs/>
          <w:sz w:val="24"/>
          <w:szCs w:val="24"/>
        </w:rPr>
        <w:t>Earthq</w:t>
      </w:r>
      <w:proofErr w:type="spellEnd"/>
      <w:r w:rsidRPr="00780D2B">
        <w:rPr>
          <w:rFonts w:ascii="Arial" w:eastAsia="Arial" w:hAnsi="Arial" w:cs="Arial"/>
          <w:i/>
          <w:iCs/>
          <w:sz w:val="24"/>
          <w:szCs w:val="24"/>
        </w:rPr>
        <w:t xml:space="preserve"> </w:t>
      </w:r>
      <w:proofErr w:type="spellStart"/>
      <w:r w:rsidRPr="00780D2B">
        <w:rPr>
          <w:rFonts w:ascii="Arial" w:eastAsia="Arial" w:hAnsi="Arial" w:cs="Arial"/>
          <w:i/>
          <w:iCs/>
          <w:sz w:val="24"/>
          <w:szCs w:val="24"/>
        </w:rPr>
        <w:t>Engng</w:t>
      </w:r>
      <w:proofErr w:type="spellEnd"/>
      <w:r w:rsidRPr="00780D2B">
        <w:rPr>
          <w:rFonts w:ascii="Arial" w:eastAsia="Arial" w:hAnsi="Arial" w:cs="Arial"/>
          <w:i/>
          <w:iCs/>
          <w:sz w:val="24"/>
          <w:szCs w:val="24"/>
        </w:rPr>
        <w:t xml:space="preserve"> Struct Dyn</w:t>
      </w:r>
      <w:r w:rsidRPr="00780D2B">
        <w:rPr>
          <w:rFonts w:ascii="Arial" w:eastAsia="Arial" w:hAnsi="Arial" w:cs="Arial"/>
          <w:sz w:val="24"/>
          <w:szCs w:val="24"/>
        </w:rPr>
        <w:t xml:space="preserve"> </w:t>
      </w:r>
      <w:r w:rsidRPr="00780D2B">
        <w:rPr>
          <w:rFonts w:ascii="Arial" w:eastAsia="Arial" w:hAnsi="Arial" w:cs="Arial"/>
          <w:b/>
          <w:bCs/>
          <w:sz w:val="24"/>
          <w:szCs w:val="24"/>
        </w:rPr>
        <w:t>50</w:t>
      </w:r>
      <w:r w:rsidRPr="00780D2B">
        <w:rPr>
          <w:rFonts w:ascii="Arial" w:eastAsia="Arial" w:hAnsi="Arial" w:cs="Arial"/>
          <w:sz w:val="24"/>
          <w:szCs w:val="24"/>
        </w:rPr>
        <w:t xml:space="preserve">, no. 6, 1777–1800, </w:t>
      </w:r>
      <w:proofErr w:type="spellStart"/>
      <w:r w:rsidRPr="00780D2B">
        <w:rPr>
          <w:rFonts w:ascii="Arial" w:eastAsia="Arial" w:hAnsi="Arial" w:cs="Arial"/>
          <w:sz w:val="24"/>
          <w:szCs w:val="24"/>
        </w:rPr>
        <w:t>doi</w:t>
      </w:r>
      <w:proofErr w:type="spellEnd"/>
      <w:r w:rsidRPr="00780D2B">
        <w:rPr>
          <w:rFonts w:ascii="Arial" w:eastAsia="Arial" w:hAnsi="Arial" w:cs="Arial"/>
          <w:sz w:val="24"/>
          <w:szCs w:val="24"/>
        </w:rPr>
        <w:t>:</w:t>
      </w:r>
      <w:hyperlink r:id="rId104">
        <w:r w:rsidR="007D17B2" w:rsidRPr="00780D2B">
          <w:rPr>
            <w:rFonts w:ascii="Arial" w:eastAsia="Arial" w:hAnsi="Arial" w:cs="Arial"/>
            <w:sz w:val="24"/>
            <w:szCs w:val="24"/>
          </w:rPr>
          <w:t xml:space="preserve"> </w:t>
        </w:r>
      </w:hyperlink>
      <w:hyperlink r:id="rId105">
        <w:r w:rsidR="007D17B2" w:rsidRPr="00780D2B">
          <w:rPr>
            <w:rFonts w:ascii="Arial" w:eastAsia="Arial" w:hAnsi="Arial" w:cs="Arial"/>
            <w:color w:val="1155CC"/>
            <w:sz w:val="24"/>
            <w:szCs w:val="24"/>
            <w:u w:val="single"/>
          </w:rPr>
          <w:t>10.1002/eqe.3422</w:t>
        </w:r>
      </w:hyperlink>
      <w:r w:rsidRPr="00780D2B">
        <w:rPr>
          <w:rFonts w:ascii="Arial" w:eastAsia="Arial" w:hAnsi="Arial" w:cs="Arial"/>
          <w:sz w:val="24"/>
          <w:szCs w:val="24"/>
        </w:rPr>
        <w:t>.</w:t>
      </w:r>
    </w:p>
    <w:p w14:paraId="5D5CD51C" w14:textId="77777777" w:rsidR="007D17B2" w:rsidRPr="00780D2B" w:rsidRDefault="00000000">
      <w:pPr>
        <w:spacing w:before="240" w:after="120" w:line="480" w:lineRule="auto"/>
        <w:jc w:val="both"/>
        <w:rPr>
          <w:rFonts w:ascii="Arial" w:eastAsia="Arial" w:hAnsi="Arial" w:cs="Arial"/>
          <w:sz w:val="24"/>
          <w:szCs w:val="24"/>
        </w:rPr>
      </w:pPr>
      <w:r w:rsidRPr="00780D2B">
        <w:rPr>
          <w:rFonts w:ascii="Arial" w:eastAsia="Arial" w:hAnsi="Arial" w:cs="Arial"/>
          <w:sz w:val="24"/>
          <w:szCs w:val="24"/>
        </w:rPr>
        <w:lastRenderedPageBreak/>
        <w:t xml:space="preserve">Raub, C., M. Bohnhoff, B. Petrovic, S. </w:t>
      </w:r>
      <w:proofErr w:type="spellStart"/>
      <w:r w:rsidRPr="00780D2B">
        <w:rPr>
          <w:rFonts w:ascii="Arial" w:eastAsia="Arial" w:hAnsi="Arial" w:cs="Arial"/>
          <w:sz w:val="24"/>
          <w:szCs w:val="24"/>
        </w:rPr>
        <w:t>Parolai</w:t>
      </w:r>
      <w:proofErr w:type="spellEnd"/>
      <w:r w:rsidRPr="00780D2B">
        <w:rPr>
          <w:rFonts w:ascii="Arial" w:eastAsia="Arial" w:hAnsi="Arial" w:cs="Arial"/>
          <w:sz w:val="24"/>
          <w:szCs w:val="24"/>
        </w:rPr>
        <w:t>, P. Malin, K. Yanik, R. F. Kartal, and T. Kiliç (2016). Seismic</w:t>
      </w:r>
      <w:r w:rsidRPr="00780D2B">
        <w:rPr>
          <w:rFonts w:ascii="Cambria Math" w:eastAsia="Cambria Math" w:hAnsi="Cambria Math" w:cs="Cambria Math"/>
          <w:sz w:val="24"/>
          <w:szCs w:val="24"/>
        </w:rPr>
        <w:t>‐</w:t>
      </w:r>
      <w:r w:rsidRPr="00780D2B">
        <w:rPr>
          <w:rFonts w:ascii="Arial" w:eastAsia="Arial" w:hAnsi="Arial" w:cs="Arial"/>
          <w:sz w:val="24"/>
          <w:szCs w:val="24"/>
        </w:rPr>
        <w:t>Wave Propagation in Shallow Layers at the GONAF</w:t>
      </w:r>
      <w:r w:rsidRPr="00780D2B">
        <w:rPr>
          <w:rFonts w:ascii="Cambria Math" w:eastAsia="Cambria Math" w:hAnsi="Cambria Math" w:cs="Cambria Math"/>
          <w:sz w:val="24"/>
          <w:szCs w:val="24"/>
        </w:rPr>
        <w:t>‐</w:t>
      </w:r>
      <w:r w:rsidRPr="00780D2B">
        <w:rPr>
          <w:rFonts w:ascii="Arial" w:eastAsia="Arial" w:hAnsi="Arial" w:cs="Arial"/>
          <w:sz w:val="24"/>
          <w:szCs w:val="24"/>
        </w:rPr>
        <w:t xml:space="preserve">Tuzla Site, Istanbul, Turkey, </w:t>
      </w:r>
      <w:r w:rsidRPr="00780D2B">
        <w:rPr>
          <w:rFonts w:ascii="Arial" w:eastAsia="Arial" w:hAnsi="Arial" w:cs="Arial"/>
          <w:i/>
          <w:iCs/>
          <w:sz w:val="24"/>
          <w:szCs w:val="24"/>
        </w:rPr>
        <w:t>Bulletin of the Seismological Society of America</w:t>
      </w:r>
      <w:r w:rsidRPr="00780D2B">
        <w:rPr>
          <w:rFonts w:ascii="Arial" w:eastAsia="Arial" w:hAnsi="Arial" w:cs="Arial"/>
          <w:sz w:val="24"/>
          <w:szCs w:val="24"/>
        </w:rPr>
        <w:t xml:space="preserve"> </w:t>
      </w:r>
      <w:r w:rsidRPr="00780D2B">
        <w:rPr>
          <w:rFonts w:ascii="Arial" w:eastAsia="Arial" w:hAnsi="Arial" w:cs="Arial"/>
          <w:b/>
          <w:bCs/>
          <w:sz w:val="24"/>
          <w:szCs w:val="24"/>
        </w:rPr>
        <w:t>106</w:t>
      </w:r>
      <w:r w:rsidRPr="00780D2B">
        <w:rPr>
          <w:rFonts w:ascii="Arial" w:eastAsia="Arial" w:hAnsi="Arial" w:cs="Arial"/>
          <w:sz w:val="24"/>
          <w:szCs w:val="24"/>
        </w:rPr>
        <w:t xml:space="preserve">, no. 3, 912–927, </w:t>
      </w:r>
      <w:proofErr w:type="spellStart"/>
      <w:r w:rsidRPr="00780D2B">
        <w:rPr>
          <w:rFonts w:ascii="Arial" w:eastAsia="Arial" w:hAnsi="Arial" w:cs="Arial"/>
          <w:sz w:val="24"/>
          <w:szCs w:val="24"/>
        </w:rPr>
        <w:t>doi</w:t>
      </w:r>
      <w:proofErr w:type="spellEnd"/>
      <w:r w:rsidRPr="00780D2B">
        <w:rPr>
          <w:rFonts w:ascii="Arial" w:eastAsia="Arial" w:hAnsi="Arial" w:cs="Arial"/>
          <w:sz w:val="24"/>
          <w:szCs w:val="24"/>
        </w:rPr>
        <w:t>:</w:t>
      </w:r>
      <w:hyperlink r:id="rId106">
        <w:r w:rsidR="007D17B2" w:rsidRPr="00780D2B">
          <w:rPr>
            <w:rFonts w:ascii="Arial" w:eastAsia="Arial" w:hAnsi="Arial" w:cs="Arial"/>
            <w:sz w:val="24"/>
            <w:szCs w:val="24"/>
          </w:rPr>
          <w:t xml:space="preserve"> </w:t>
        </w:r>
      </w:hyperlink>
      <w:hyperlink r:id="rId107">
        <w:r w:rsidR="007D17B2" w:rsidRPr="00780D2B">
          <w:rPr>
            <w:rFonts w:ascii="Arial" w:eastAsia="Arial" w:hAnsi="Arial" w:cs="Arial"/>
            <w:color w:val="1155CC"/>
            <w:sz w:val="24"/>
            <w:szCs w:val="24"/>
            <w:u w:val="single"/>
          </w:rPr>
          <w:t>10.1785/0120150216</w:t>
        </w:r>
      </w:hyperlink>
      <w:r w:rsidRPr="00780D2B">
        <w:rPr>
          <w:rFonts w:ascii="Arial" w:eastAsia="Arial" w:hAnsi="Arial" w:cs="Arial"/>
          <w:sz w:val="24"/>
          <w:szCs w:val="24"/>
        </w:rPr>
        <w:t>.</w:t>
      </w:r>
    </w:p>
    <w:p w14:paraId="01F8507D" w14:textId="53A04355" w:rsidR="00DD0CE9" w:rsidRPr="00780D2B" w:rsidRDefault="00DD0CE9">
      <w:pPr>
        <w:spacing w:before="240" w:after="120" w:line="480" w:lineRule="auto"/>
        <w:jc w:val="both"/>
        <w:rPr>
          <w:rFonts w:ascii="Arial" w:eastAsia="Arial" w:hAnsi="Arial" w:cs="Arial"/>
          <w:sz w:val="24"/>
          <w:szCs w:val="24"/>
          <w:lang w:val="it-IT"/>
        </w:rPr>
      </w:pPr>
      <w:proofErr w:type="spellStart"/>
      <w:r w:rsidRPr="00780D2B">
        <w:rPr>
          <w:rFonts w:ascii="Arial" w:eastAsia="Arial" w:hAnsi="Arial" w:cs="Arial"/>
          <w:sz w:val="24"/>
          <w:szCs w:val="24"/>
          <w:lang w:val="it-IT"/>
        </w:rPr>
        <w:t>Redesco</w:t>
      </w:r>
      <w:proofErr w:type="spellEnd"/>
      <w:r w:rsidRPr="00780D2B">
        <w:rPr>
          <w:rFonts w:ascii="Arial" w:eastAsia="Arial" w:hAnsi="Arial" w:cs="Arial"/>
          <w:sz w:val="24"/>
          <w:szCs w:val="24"/>
          <w:lang w:val="it-IT"/>
        </w:rPr>
        <w:t xml:space="preserve"> </w:t>
      </w:r>
      <w:proofErr w:type="spellStart"/>
      <w:r w:rsidRPr="00780D2B">
        <w:rPr>
          <w:rFonts w:ascii="Arial" w:eastAsia="Arial" w:hAnsi="Arial" w:cs="Arial"/>
          <w:sz w:val="24"/>
          <w:szCs w:val="24"/>
          <w:lang w:val="it-IT"/>
        </w:rPr>
        <w:t>srl</w:t>
      </w:r>
      <w:proofErr w:type="spellEnd"/>
      <w:r w:rsidRPr="00780D2B">
        <w:rPr>
          <w:rFonts w:ascii="Arial" w:eastAsia="Arial" w:hAnsi="Arial" w:cs="Arial"/>
          <w:sz w:val="24"/>
          <w:szCs w:val="24"/>
          <w:lang w:val="it-IT"/>
        </w:rPr>
        <w:t xml:space="preserve"> (1999)</w:t>
      </w:r>
      <w:r w:rsidR="00C52138" w:rsidRPr="00780D2B">
        <w:rPr>
          <w:rFonts w:ascii="Arial" w:eastAsia="Arial" w:hAnsi="Arial" w:cs="Arial"/>
          <w:sz w:val="24"/>
          <w:szCs w:val="24"/>
          <w:lang w:val="it-IT"/>
        </w:rPr>
        <w:t xml:space="preserve">. </w:t>
      </w:r>
      <w:r w:rsidR="00C52138" w:rsidRPr="00780D2B">
        <w:rPr>
          <w:rFonts w:ascii="Arial" w:eastAsia="Arial" w:hAnsi="Arial" w:cs="Arial"/>
          <w:i/>
          <w:iCs/>
          <w:sz w:val="24"/>
          <w:szCs w:val="24"/>
          <w:lang w:val="it-IT"/>
        </w:rPr>
        <w:t>Relazione di calcolo generale – Progetto esecutivo</w:t>
      </w:r>
      <w:r w:rsidR="00C52138" w:rsidRPr="00780D2B">
        <w:rPr>
          <w:rFonts w:ascii="Arial" w:eastAsia="Arial" w:hAnsi="Arial" w:cs="Arial"/>
          <w:sz w:val="24"/>
          <w:szCs w:val="24"/>
          <w:lang w:val="it-IT"/>
        </w:rPr>
        <w:t xml:space="preserve"> (</w:t>
      </w:r>
      <w:proofErr w:type="spellStart"/>
      <w:r w:rsidR="00C52138" w:rsidRPr="00780D2B">
        <w:rPr>
          <w:rFonts w:ascii="Arial" w:eastAsia="Arial" w:hAnsi="Arial" w:cs="Arial"/>
          <w:sz w:val="24"/>
          <w:szCs w:val="24"/>
          <w:lang w:val="it-IT"/>
        </w:rPr>
        <w:t>Publication</w:t>
      </w:r>
      <w:proofErr w:type="spellEnd"/>
      <w:r w:rsidR="00C52138" w:rsidRPr="00780D2B">
        <w:rPr>
          <w:rFonts w:ascii="Arial" w:eastAsia="Arial" w:hAnsi="Arial" w:cs="Arial"/>
          <w:sz w:val="24"/>
          <w:szCs w:val="24"/>
          <w:lang w:val="it-IT"/>
        </w:rPr>
        <w:t xml:space="preserve"> No. R5765/GAD/00501)</w:t>
      </w:r>
    </w:p>
    <w:p w14:paraId="6EB80D40" w14:textId="429A2553" w:rsidR="00F863BF" w:rsidRPr="00780D2B" w:rsidRDefault="00F863BF">
      <w:pPr>
        <w:spacing w:before="240" w:after="120" w:line="480" w:lineRule="auto"/>
        <w:jc w:val="both"/>
        <w:rPr>
          <w:rFonts w:ascii="Arial" w:eastAsia="Arial" w:hAnsi="Arial" w:cs="Arial"/>
          <w:sz w:val="24"/>
          <w:szCs w:val="24"/>
          <w:lang w:val="en-US"/>
        </w:rPr>
      </w:pPr>
      <w:r w:rsidRPr="00780D2B">
        <w:rPr>
          <w:rFonts w:ascii="Arial" w:eastAsia="Arial" w:hAnsi="Arial" w:cs="Arial"/>
          <w:sz w:val="24"/>
          <w:szCs w:val="24"/>
          <w:lang w:val="it-IT"/>
        </w:rPr>
        <w:t>Regione Emilia</w:t>
      </w:r>
      <w:r w:rsidR="008F5439" w:rsidRPr="00780D2B">
        <w:rPr>
          <w:rFonts w:ascii="Arial" w:eastAsia="Arial" w:hAnsi="Arial" w:cs="Arial"/>
          <w:sz w:val="24"/>
          <w:szCs w:val="24"/>
          <w:lang w:val="it-IT"/>
        </w:rPr>
        <w:t>-</w:t>
      </w:r>
      <w:r w:rsidRPr="00780D2B">
        <w:rPr>
          <w:rFonts w:ascii="Arial" w:eastAsia="Arial" w:hAnsi="Arial" w:cs="Arial"/>
          <w:sz w:val="24"/>
          <w:szCs w:val="24"/>
          <w:lang w:val="it-IT"/>
        </w:rPr>
        <w:t xml:space="preserve">Romagna (1999). </w:t>
      </w:r>
      <w:r w:rsidRPr="00780D2B">
        <w:rPr>
          <w:rFonts w:ascii="Arial" w:eastAsia="Arial" w:hAnsi="Arial" w:cs="Arial"/>
          <w:i/>
          <w:iCs/>
          <w:sz w:val="24"/>
          <w:szCs w:val="24"/>
          <w:lang w:val="it-IT"/>
        </w:rPr>
        <w:t>Progetto esecutivo delle strutture – Relazione geologica</w:t>
      </w:r>
      <w:r w:rsidR="000C6440" w:rsidRPr="00780D2B">
        <w:rPr>
          <w:rFonts w:ascii="Arial" w:eastAsia="Arial" w:hAnsi="Arial" w:cs="Arial"/>
          <w:sz w:val="24"/>
          <w:szCs w:val="24"/>
          <w:lang w:val="it-IT"/>
        </w:rPr>
        <w:t xml:space="preserve">. </w:t>
      </w:r>
      <w:r w:rsidR="000C6440" w:rsidRPr="00780D2B">
        <w:rPr>
          <w:rFonts w:ascii="Arial" w:eastAsia="Arial" w:hAnsi="Arial" w:cs="Arial"/>
          <w:sz w:val="24"/>
          <w:szCs w:val="24"/>
          <w:lang w:val="en-US"/>
        </w:rPr>
        <w:t>Internal report – unpublished.</w:t>
      </w:r>
    </w:p>
    <w:p w14:paraId="4D6886F0" w14:textId="77777777" w:rsidR="007D17B2" w:rsidRPr="00780D2B" w:rsidRDefault="00000000">
      <w:pPr>
        <w:spacing w:before="240" w:after="120" w:line="480" w:lineRule="auto"/>
        <w:jc w:val="both"/>
        <w:rPr>
          <w:rFonts w:ascii="Arial" w:eastAsia="Arial" w:hAnsi="Arial" w:cs="Arial"/>
          <w:sz w:val="24"/>
          <w:szCs w:val="24"/>
        </w:rPr>
      </w:pPr>
      <w:proofErr w:type="spellStart"/>
      <w:r w:rsidRPr="00780D2B">
        <w:rPr>
          <w:rFonts w:ascii="Arial" w:eastAsia="Arial" w:hAnsi="Arial" w:cs="Arial"/>
          <w:sz w:val="24"/>
          <w:szCs w:val="24"/>
          <w:lang w:val="en-US"/>
        </w:rPr>
        <w:t>Rovida</w:t>
      </w:r>
      <w:proofErr w:type="spellEnd"/>
      <w:r w:rsidRPr="00780D2B">
        <w:rPr>
          <w:rFonts w:ascii="Arial" w:eastAsia="Arial" w:hAnsi="Arial" w:cs="Arial"/>
          <w:sz w:val="24"/>
          <w:szCs w:val="24"/>
          <w:lang w:val="en-US"/>
        </w:rPr>
        <w:t xml:space="preserve">, A. N., P. Albini, M. Locati, and A. Antonucci (2020). </w:t>
      </w:r>
      <w:r w:rsidRPr="00780D2B">
        <w:rPr>
          <w:rFonts w:ascii="Arial" w:eastAsia="Arial" w:hAnsi="Arial" w:cs="Arial"/>
          <w:sz w:val="24"/>
          <w:szCs w:val="24"/>
        </w:rPr>
        <w:t xml:space="preserve">Insights into </w:t>
      </w:r>
      <w:proofErr w:type="spellStart"/>
      <w:r w:rsidRPr="00780D2B">
        <w:rPr>
          <w:rFonts w:ascii="Arial" w:eastAsia="Arial" w:hAnsi="Arial" w:cs="Arial"/>
          <w:sz w:val="24"/>
          <w:szCs w:val="24"/>
        </w:rPr>
        <w:t>Preinstrumental</w:t>
      </w:r>
      <w:proofErr w:type="spellEnd"/>
      <w:r w:rsidRPr="00780D2B">
        <w:rPr>
          <w:rFonts w:ascii="Arial" w:eastAsia="Arial" w:hAnsi="Arial" w:cs="Arial"/>
          <w:sz w:val="24"/>
          <w:szCs w:val="24"/>
        </w:rPr>
        <w:t xml:space="preserve"> Earthquake Data and Catalogs in Europe, </w:t>
      </w:r>
      <w:r w:rsidRPr="00780D2B">
        <w:rPr>
          <w:rFonts w:ascii="Arial" w:eastAsia="Arial" w:hAnsi="Arial" w:cs="Arial"/>
          <w:i/>
          <w:iCs/>
          <w:sz w:val="24"/>
          <w:szCs w:val="24"/>
        </w:rPr>
        <w:t>Seismological Research Letters</w:t>
      </w:r>
      <w:r w:rsidRPr="00780D2B">
        <w:rPr>
          <w:rFonts w:ascii="Arial" w:eastAsia="Arial" w:hAnsi="Arial" w:cs="Arial"/>
          <w:sz w:val="24"/>
          <w:szCs w:val="24"/>
        </w:rPr>
        <w:t xml:space="preserve"> </w:t>
      </w:r>
      <w:r w:rsidRPr="00780D2B">
        <w:rPr>
          <w:rFonts w:ascii="Arial" w:eastAsia="Arial" w:hAnsi="Arial" w:cs="Arial"/>
          <w:b/>
          <w:bCs/>
          <w:sz w:val="24"/>
          <w:szCs w:val="24"/>
        </w:rPr>
        <w:t>91</w:t>
      </w:r>
      <w:r w:rsidRPr="00780D2B">
        <w:rPr>
          <w:rFonts w:ascii="Arial" w:eastAsia="Arial" w:hAnsi="Arial" w:cs="Arial"/>
          <w:sz w:val="24"/>
          <w:szCs w:val="24"/>
        </w:rPr>
        <w:t xml:space="preserve">, no. 5, 2546–2553, </w:t>
      </w:r>
      <w:proofErr w:type="spellStart"/>
      <w:r w:rsidRPr="00780D2B">
        <w:rPr>
          <w:rFonts w:ascii="Arial" w:eastAsia="Arial" w:hAnsi="Arial" w:cs="Arial"/>
          <w:sz w:val="24"/>
          <w:szCs w:val="24"/>
        </w:rPr>
        <w:t>doi</w:t>
      </w:r>
      <w:proofErr w:type="spellEnd"/>
      <w:r w:rsidRPr="00780D2B">
        <w:rPr>
          <w:rFonts w:ascii="Arial" w:eastAsia="Arial" w:hAnsi="Arial" w:cs="Arial"/>
          <w:sz w:val="24"/>
          <w:szCs w:val="24"/>
        </w:rPr>
        <w:t>:</w:t>
      </w:r>
      <w:hyperlink r:id="rId108">
        <w:r w:rsidR="007D17B2" w:rsidRPr="00780D2B">
          <w:rPr>
            <w:rFonts w:ascii="Arial" w:eastAsia="Arial" w:hAnsi="Arial" w:cs="Arial"/>
            <w:sz w:val="24"/>
            <w:szCs w:val="24"/>
          </w:rPr>
          <w:t xml:space="preserve"> </w:t>
        </w:r>
      </w:hyperlink>
      <w:hyperlink r:id="rId109">
        <w:r w:rsidR="007D17B2" w:rsidRPr="00780D2B">
          <w:rPr>
            <w:rFonts w:ascii="Arial" w:eastAsia="Arial" w:hAnsi="Arial" w:cs="Arial"/>
            <w:color w:val="1155CC"/>
            <w:sz w:val="24"/>
            <w:szCs w:val="24"/>
            <w:u w:val="single"/>
          </w:rPr>
          <w:t>10.1785/0220200058</w:t>
        </w:r>
      </w:hyperlink>
      <w:r w:rsidRPr="00780D2B">
        <w:rPr>
          <w:rFonts w:ascii="Arial" w:eastAsia="Arial" w:hAnsi="Arial" w:cs="Arial"/>
          <w:sz w:val="24"/>
          <w:szCs w:val="24"/>
        </w:rPr>
        <w:t>.</w:t>
      </w:r>
    </w:p>
    <w:p w14:paraId="3E0D7104" w14:textId="77777777" w:rsidR="007D17B2" w:rsidRPr="00780D2B" w:rsidRDefault="00000000">
      <w:pPr>
        <w:spacing w:before="240" w:after="120" w:line="480" w:lineRule="auto"/>
        <w:jc w:val="both"/>
        <w:rPr>
          <w:rFonts w:ascii="Arial" w:eastAsia="Arial" w:hAnsi="Arial" w:cs="Arial"/>
          <w:sz w:val="24"/>
          <w:szCs w:val="24"/>
          <w:lang w:val="it-IT"/>
        </w:rPr>
      </w:pPr>
      <w:r w:rsidRPr="00780D2B">
        <w:rPr>
          <w:rFonts w:ascii="Arial" w:eastAsia="Arial" w:hAnsi="Arial" w:cs="Arial"/>
          <w:sz w:val="24"/>
          <w:szCs w:val="24"/>
          <w:lang w:val="it-IT"/>
        </w:rPr>
        <w:t xml:space="preserve">Rovida, A., A. Antonucci, and M. Locati (2022). </w:t>
      </w:r>
      <w:r w:rsidRPr="00780D2B">
        <w:rPr>
          <w:rFonts w:ascii="Arial" w:eastAsia="Arial" w:hAnsi="Arial" w:cs="Arial"/>
          <w:sz w:val="24"/>
          <w:szCs w:val="24"/>
        </w:rPr>
        <w:t xml:space="preserve">The European </w:t>
      </w:r>
      <w:proofErr w:type="spellStart"/>
      <w:r w:rsidRPr="00780D2B">
        <w:rPr>
          <w:rFonts w:ascii="Arial" w:eastAsia="Arial" w:hAnsi="Arial" w:cs="Arial"/>
          <w:sz w:val="24"/>
          <w:szCs w:val="24"/>
        </w:rPr>
        <w:t>Preinstrumental</w:t>
      </w:r>
      <w:proofErr w:type="spellEnd"/>
      <w:r w:rsidRPr="00780D2B">
        <w:rPr>
          <w:rFonts w:ascii="Arial" w:eastAsia="Arial" w:hAnsi="Arial" w:cs="Arial"/>
          <w:sz w:val="24"/>
          <w:szCs w:val="24"/>
        </w:rPr>
        <w:t xml:space="preserve"> Earthquake Catalogue EPICA, the 1000–1899 catalogue for the European Seismic Hazard Model 2020, </w:t>
      </w:r>
      <w:r w:rsidRPr="00780D2B">
        <w:rPr>
          <w:rFonts w:ascii="Arial" w:eastAsia="Arial" w:hAnsi="Arial" w:cs="Arial"/>
          <w:i/>
          <w:iCs/>
          <w:sz w:val="24"/>
          <w:szCs w:val="24"/>
        </w:rPr>
        <w:t xml:space="preserve">Earth Syst. Sci. </w:t>
      </w:r>
      <w:r w:rsidRPr="00780D2B">
        <w:rPr>
          <w:rFonts w:ascii="Arial" w:eastAsia="Arial" w:hAnsi="Arial" w:cs="Arial"/>
          <w:i/>
          <w:iCs/>
          <w:sz w:val="24"/>
          <w:szCs w:val="24"/>
          <w:lang w:val="it-IT"/>
        </w:rPr>
        <w:t>Data</w:t>
      </w:r>
      <w:r w:rsidRPr="00780D2B">
        <w:rPr>
          <w:rFonts w:ascii="Arial" w:eastAsia="Arial" w:hAnsi="Arial" w:cs="Arial"/>
          <w:sz w:val="24"/>
          <w:szCs w:val="24"/>
          <w:lang w:val="it-IT"/>
        </w:rPr>
        <w:t xml:space="preserve"> </w:t>
      </w:r>
      <w:r w:rsidRPr="00780D2B">
        <w:rPr>
          <w:rFonts w:ascii="Arial" w:eastAsia="Arial" w:hAnsi="Arial" w:cs="Arial"/>
          <w:b/>
          <w:bCs/>
          <w:sz w:val="24"/>
          <w:szCs w:val="24"/>
          <w:lang w:val="it-IT"/>
        </w:rPr>
        <w:t>14</w:t>
      </w:r>
      <w:r w:rsidRPr="00780D2B">
        <w:rPr>
          <w:rFonts w:ascii="Arial" w:eastAsia="Arial" w:hAnsi="Arial" w:cs="Arial"/>
          <w:sz w:val="24"/>
          <w:szCs w:val="24"/>
          <w:lang w:val="it-IT"/>
        </w:rPr>
        <w:t xml:space="preserve">, no. 12, 5213–5231, </w:t>
      </w:r>
      <w:proofErr w:type="spellStart"/>
      <w:r w:rsidRPr="00780D2B">
        <w:rPr>
          <w:rFonts w:ascii="Arial" w:eastAsia="Arial" w:hAnsi="Arial" w:cs="Arial"/>
          <w:sz w:val="24"/>
          <w:szCs w:val="24"/>
          <w:lang w:val="it-IT"/>
        </w:rPr>
        <w:t>doi</w:t>
      </w:r>
      <w:proofErr w:type="spellEnd"/>
      <w:r w:rsidRPr="00780D2B">
        <w:rPr>
          <w:rFonts w:ascii="Arial" w:eastAsia="Arial" w:hAnsi="Arial" w:cs="Arial"/>
          <w:sz w:val="24"/>
          <w:szCs w:val="24"/>
          <w:lang w:val="it-IT"/>
        </w:rPr>
        <w:t>:</w:t>
      </w:r>
      <w:hyperlink r:id="rId110">
        <w:r w:rsidR="007D17B2" w:rsidRPr="00780D2B">
          <w:rPr>
            <w:rFonts w:ascii="Arial" w:eastAsia="Arial" w:hAnsi="Arial" w:cs="Arial"/>
            <w:sz w:val="24"/>
            <w:szCs w:val="24"/>
            <w:lang w:val="it-IT"/>
          </w:rPr>
          <w:t xml:space="preserve"> </w:t>
        </w:r>
      </w:hyperlink>
      <w:hyperlink r:id="rId111">
        <w:r w:rsidR="007D17B2" w:rsidRPr="00780D2B">
          <w:rPr>
            <w:rFonts w:ascii="Arial" w:eastAsia="Arial" w:hAnsi="Arial" w:cs="Arial"/>
            <w:color w:val="1155CC"/>
            <w:sz w:val="24"/>
            <w:szCs w:val="24"/>
            <w:u w:val="single"/>
            <w:lang w:val="it-IT"/>
          </w:rPr>
          <w:t>10.5194/essd-14-5213-2022</w:t>
        </w:r>
      </w:hyperlink>
      <w:r w:rsidRPr="00780D2B">
        <w:rPr>
          <w:rFonts w:ascii="Arial" w:eastAsia="Arial" w:hAnsi="Arial" w:cs="Arial"/>
          <w:sz w:val="24"/>
          <w:szCs w:val="24"/>
          <w:lang w:val="it-IT"/>
        </w:rPr>
        <w:t>.</w:t>
      </w:r>
    </w:p>
    <w:p w14:paraId="24B57967" w14:textId="77777777" w:rsidR="007D17B2" w:rsidRPr="00780D2B" w:rsidRDefault="00000000">
      <w:pPr>
        <w:spacing w:before="240" w:after="120" w:line="480" w:lineRule="auto"/>
        <w:jc w:val="both"/>
        <w:rPr>
          <w:rFonts w:ascii="Arial" w:eastAsia="Arial" w:hAnsi="Arial" w:cs="Arial"/>
          <w:sz w:val="24"/>
          <w:szCs w:val="24"/>
        </w:rPr>
      </w:pPr>
      <w:r w:rsidRPr="00780D2B">
        <w:rPr>
          <w:rFonts w:ascii="Arial" w:eastAsia="Arial" w:hAnsi="Arial" w:cs="Arial"/>
          <w:sz w:val="24"/>
          <w:szCs w:val="24"/>
          <w:lang w:val="it-IT"/>
        </w:rPr>
        <w:t xml:space="preserve">Scaini, C., B. Petrovic, A. Tamaro, L. Moratto, and S. Parolai (2021). </w:t>
      </w:r>
      <w:r w:rsidRPr="00780D2B">
        <w:rPr>
          <w:rFonts w:ascii="Arial" w:eastAsia="Arial" w:hAnsi="Arial" w:cs="Arial"/>
          <w:sz w:val="24"/>
          <w:szCs w:val="24"/>
        </w:rPr>
        <w:t xml:space="preserve">Near-Real-Time Damage Estimation for Buildings Based on Strong-Motion Recordings: An Application to Target Areas in Northeastern Italy, </w:t>
      </w:r>
      <w:r w:rsidRPr="00780D2B">
        <w:rPr>
          <w:rFonts w:ascii="Arial" w:eastAsia="Arial" w:hAnsi="Arial" w:cs="Arial"/>
          <w:i/>
          <w:iCs/>
          <w:sz w:val="24"/>
          <w:szCs w:val="24"/>
        </w:rPr>
        <w:t>Seismological Research Letters</w:t>
      </w:r>
      <w:r w:rsidRPr="00780D2B">
        <w:rPr>
          <w:rFonts w:ascii="Arial" w:eastAsia="Arial" w:hAnsi="Arial" w:cs="Arial"/>
          <w:sz w:val="24"/>
          <w:szCs w:val="24"/>
        </w:rPr>
        <w:t xml:space="preserve"> </w:t>
      </w:r>
      <w:r w:rsidRPr="00780D2B">
        <w:rPr>
          <w:rFonts w:ascii="Arial" w:eastAsia="Arial" w:hAnsi="Arial" w:cs="Arial"/>
          <w:b/>
          <w:bCs/>
          <w:sz w:val="24"/>
          <w:szCs w:val="24"/>
        </w:rPr>
        <w:t>92</w:t>
      </w:r>
      <w:r w:rsidRPr="00780D2B">
        <w:rPr>
          <w:rFonts w:ascii="Arial" w:eastAsia="Arial" w:hAnsi="Arial" w:cs="Arial"/>
          <w:sz w:val="24"/>
          <w:szCs w:val="24"/>
        </w:rPr>
        <w:t xml:space="preserve">, no. 6, 3785–3800, </w:t>
      </w:r>
      <w:proofErr w:type="spellStart"/>
      <w:r w:rsidRPr="00780D2B">
        <w:rPr>
          <w:rFonts w:ascii="Arial" w:eastAsia="Arial" w:hAnsi="Arial" w:cs="Arial"/>
          <w:sz w:val="24"/>
          <w:szCs w:val="24"/>
        </w:rPr>
        <w:t>doi</w:t>
      </w:r>
      <w:proofErr w:type="spellEnd"/>
      <w:r w:rsidRPr="00780D2B">
        <w:rPr>
          <w:rFonts w:ascii="Arial" w:eastAsia="Arial" w:hAnsi="Arial" w:cs="Arial"/>
          <w:sz w:val="24"/>
          <w:szCs w:val="24"/>
        </w:rPr>
        <w:t>:</w:t>
      </w:r>
      <w:hyperlink r:id="rId112">
        <w:r w:rsidR="007D17B2" w:rsidRPr="00780D2B">
          <w:rPr>
            <w:rFonts w:ascii="Arial" w:eastAsia="Arial" w:hAnsi="Arial" w:cs="Arial"/>
            <w:sz w:val="24"/>
            <w:szCs w:val="24"/>
          </w:rPr>
          <w:t xml:space="preserve"> </w:t>
        </w:r>
      </w:hyperlink>
      <w:hyperlink r:id="rId113">
        <w:r w:rsidR="007D17B2" w:rsidRPr="00780D2B">
          <w:rPr>
            <w:rFonts w:ascii="Arial" w:eastAsia="Arial" w:hAnsi="Arial" w:cs="Arial"/>
            <w:color w:val="1155CC"/>
            <w:sz w:val="24"/>
            <w:szCs w:val="24"/>
            <w:u w:val="single"/>
          </w:rPr>
          <w:t>10.1785/0220200430</w:t>
        </w:r>
      </w:hyperlink>
      <w:r w:rsidRPr="00780D2B">
        <w:rPr>
          <w:rFonts w:ascii="Arial" w:eastAsia="Arial" w:hAnsi="Arial" w:cs="Arial"/>
          <w:sz w:val="24"/>
          <w:szCs w:val="24"/>
        </w:rPr>
        <w:t>.</w:t>
      </w:r>
    </w:p>
    <w:p w14:paraId="60FF1AD0" w14:textId="77777777" w:rsidR="007D17B2" w:rsidRPr="00780D2B" w:rsidRDefault="00000000">
      <w:pPr>
        <w:spacing w:before="240" w:after="120" w:line="480" w:lineRule="auto"/>
        <w:jc w:val="both"/>
        <w:rPr>
          <w:rFonts w:ascii="Arial" w:eastAsia="Arial" w:hAnsi="Arial" w:cs="Arial"/>
          <w:sz w:val="24"/>
          <w:szCs w:val="24"/>
        </w:rPr>
      </w:pPr>
      <w:proofErr w:type="spellStart"/>
      <w:r w:rsidRPr="00780D2B">
        <w:rPr>
          <w:rFonts w:ascii="Arial" w:eastAsia="Arial" w:hAnsi="Arial" w:cs="Arial"/>
          <w:sz w:val="24"/>
          <w:szCs w:val="24"/>
        </w:rPr>
        <w:lastRenderedPageBreak/>
        <w:t>Semblat</w:t>
      </w:r>
      <w:proofErr w:type="spellEnd"/>
      <w:r w:rsidRPr="00780D2B">
        <w:rPr>
          <w:rFonts w:ascii="Arial" w:eastAsia="Arial" w:hAnsi="Arial" w:cs="Arial"/>
          <w:sz w:val="24"/>
          <w:szCs w:val="24"/>
        </w:rPr>
        <w:t xml:space="preserve">, J.-F., M. Kham, and P.-Y. Bard (2008). Seismic-Wave Propagation in Alluvial Basins and Influence of Site-City Interaction, </w:t>
      </w:r>
      <w:r w:rsidRPr="00780D2B">
        <w:rPr>
          <w:rFonts w:ascii="Arial" w:eastAsia="Arial" w:hAnsi="Arial" w:cs="Arial"/>
          <w:i/>
          <w:iCs/>
          <w:sz w:val="24"/>
          <w:szCs w:val="24"/>
        </w:rPr>
        <w:t>Bulletin of the Seismological Society of America</w:t>
      </w:r>
      <w:r w:rsidRPr="00780D2B">
        <w:rPr>
          <w:rFonts w:ascii="Arial" w:eastAsia="Arial" w:hAnsi="Arial" w:cs="Arial"/>
          <w:sz w:val="24"/>
          <w:szCs w:val="24"/>
        </w:rPr>
        <w:t xml:space="preserve"> </w:t>
      </w:r>
      <w:r w:rsidRPr="00780D2B">
        <w:rPr>
          <w:rFonts w:ascii="Arial" w:eastAsia="Arial" w:hAnsi="Arial" w:cs="Arial"/>
          <w:b/>
          <w:bCs/>
          <w:sz w:val="24"/>
          <w:szCs w:val="24"/>
        </w:rPr>
        <w:t>98</w:t>
      </w:r>
      <w:r w:rsidRPr="00780D2B">
        <w:rPr>
          <w:rFonts w:ascii="Arial" w:eastAsia="Arial" w:hAnsi="Arial" w:cs="Arial"/>
          <w:sz w:val="24"/>
          <w:szCs w:val="24"/>
        </w:rPr>
        <w:t xml:space="preserve">, no. 6, 2665–2678, </w:t>
      </w:r>
      <w:proofErr w:type="spellStart"/>
      <w:r w:rsidRPr="00780D2B">
        <w:rPr>
          <w:rFonts w:ascii="Arial" w:eastAsia="Arial" w:hAnsi="Arial" w:cs="Arial"/>
          <w:sz w:val="24"/>
          <w:szCs w:val="24"/>
        </w:rPr>
        <w:t>doi</w:t>
      </w:r>
      <w:proofErr w:type="spellEnd"/>
      <w:r w:rsidRPr="00780D2B">
        <w:rPr>
          <w:rFonts w:ascii="Arial" w:eastAsia="Arial" w:hAnsi="Arial" w:cs="Arial"/>
          <w:sz w:val="24"/>
          <w:szCs w:val="24"/>
        </w:rPr>
        <w:t>:</w:t>
      </w:r>
      <w:hyperlink r:id="rId114">
        <w:r w:rsidR="007D17B2" w:rsidRPr="00780D2B">
          <w:rPr>
            <w:rFonts w:ascii="Arial" w:eastAsia="Arial" w:hAnsi="Arial" w:cs="Arial"/>
            <w:sz w:val="24"/>
            <w:szCs w:val="24"/>
          </w:rPr>
          <w:t xml:space="preserve"> </w:t>
        </w:r>
      </w:hyperlink>
      <w:hyperlink r:id="rId115">
        <w:r w:rsidR="007D17B2" w:rsidRPr="00780D2B">
          <w:rPr>
            <w:rFonts w:ascii="Arial" w:eastAsia="Arial" w:hAnsi="Arial" w:cs="Arial"/>
            <w:color w:val="1155CC"/>
            <w:sz w:val="24"/>
            <w:szCs w:val="24"/>
            <w:u w:val="single"/>
          </w:rPr>
          <w:t>10.1785/0120080093</w:t>
        </w:r>
      </w:hyperlink>
      <w:r w:rsidRPr="00780D2B">
        <w:rPr>
          <w:rFonts w:ascii="Arial" w:eastAsia="Arial" w:hAnsi="Arial" w:cs="Arial"/>
          <w:sz w:val="24"/>
          <w:szCs w:val="24"/>
        </w:rPr>
        <w:t>.</w:t>
      </w:r>
    </w:p>
    <w:p w14:paraId="35B498D2" w14:textId="77777777" w:rsidR="007D17B2" w:rsidRPr="00780D2B" w:rsidRDefault="00000000">
      <w:pPr>
        <w:spacing w:before="240" w:after="120" w:line="480" w:lineRule="auto"/>
        <w:jc w:val="both"/>
        <w:rPr>
          <w:rFonts w:ascii="Arial" w:eastAsia="Arial" w:hAnsi="Arial" w:cs="Arial"/>
          <w:sz w:val="24"/>
          <w:szCs w:val="24"/>
        </w:rPr>
      </w:pPr>
      <w:proofErr w:type="spellStart"/>
      <w:r w:rsidRPr="00780D2B">
        <w:rPr>
          <w:rFonts w:ascii="Arial" w:eastAsia="Arial" w:hAnsi="Arial" w:cs="Arial"/>
          <w:sz w:val="24"/>
          <w:szCs w:val="24"/>
        </w:rPr>
        <w:t>Semblat</w:t>
      </w:r>
      <w:proofErr w:type="spellEnd"/>
      <w:r w:rsidRPr="00780D2B">
        <w:rPr>
          <w:rFonts w:ascii="Arial" w:eastAsia="Arial" w:hAnsi="Arial" w:cs="Arial"/>
          <w:sz w:val="24"/>
          <w:szCs w:val="24"/>
        </w:rPr>
        <w:t>, J.-F., M. Kham, P. Gueguen, P.-Y. Bard, and A.-M. Duval (2002). Site-city interaction through modifications of site effects.</w:t>
      </w:r>
    </w:p>
    <w:p w14:paraId="6C578268" w14:textId="77777777" w:rsidR="007D17B2" w:rsidRPr="00780D2B" w:rsidRDefault="00000000">
      <w:pPr>
        <w:spacing w:before="240" w:after="120" w:line="480" w:lineRule="auto"/>
        <w:jc w:val="both"/>
        <w:rPr>
          <w:rFonts w:ascii="Arial" w:eastAsia="Arial" w:hAnsi="Arial" w:cs="Arial"/>
          <w:sz w:val="24"/>
          <w:szCs w:val="24"/>
        </w:rPr>
      </w:pPr>
      <w:proofErr w:type="spellStart"/>
      <w:r w:rsidRPr="00780D2B">
        <w:rPr>
          <w:rFonts w:ascii="Arial" w:eastAsia="Arial" w:hAnsi="Arial" w:cs="Arial"/>
          <w:sz w:val="24"/>
          <w:szCs w:val="24"/>
        </w:rPr>
        <w:t>Skłodowska</w:t>
      </w:r>
      <w:proofErr w:type="spellEnd"/>
      <w:r w:rsidRPr="00780D2B">
        <w:rPr>
          <w:rFonts w:ascii="Arial" w:eastAsia="Arial" w:hAnsi="Arial" w:cs="Arial"/>
          <w:sz w:val="24"/>
          <w:szCs w:val="24"/>
        </w:rPr>
        <w:t xml:space="preserve">, A. M., C. Amendola, S. A. Mohammed, S. Sangaraju, C. Barnaba, D. Pitilakis, P. Roux, A. Compagno, B. Petrovic, V. </w:t>
      </w:r>
      <w:proofErr w:type="spellStart"/>
      <w:r w:rsidRPr="00780D2B">
        <w:rPr>
          <w:rFonts w:ascii="Arial" w:eastAsia="Arial" w:hAnsi="Arial" w:cs="Arial"/>
          <w:sz w:val="24"/>
          <w:szCs w:val="24"/>
        </w:rPr>
        <w:t>Schindelholz</w:t>
      </w:r>
      <w:proofErr w:type="spellEnd"/>
      <w:r w:rsidRPr="00780D2B">
        <w:rPr>
          <w:rFonts w:ascii="Arial" w:eastAsia="Arial" w:hAnsi="Arial" w:cs="Arial"/>
          <w:sz w:val="24"/>
          <w:szCs w:val="24"/>
        </w:rPr>
        <w:t xml:space="preserve">, </w:t>
      </w:r>
      <w:r w:rsidRPr="00780D2B">
        <w:rPr>
          <w:rFonts w:ascii="Arial" w:eastAsia="Arial" w:hAnsi="Arial" w:cs="Arial"/>
          <w:i/>
          <w:iCs/>
          <w:sz w:val="24"/>
          <w:szCs w:val="24"/>
        </w:rPr>
        <w:t>et al.</w:t>
      </w:r>
      <w:r w:rsidRPr="00780D2B">
        <w:rPr>
          <w:rFonts w:ascii="Arial" w:eastAsia="Arial" w:hAnsi="Arial" w:cs="Arial"/>
          <w:sz w:val="24"/>
          <w:szCs w:val="24"/>
        </w:rPr>
        <w:t xml:space="preserve"> (2025). </w:t>
      </w:r>
      <w:proofErr w:type="spellStart"/>
      <w:r w:rsidRPr="00780D2B">
        <w:rPr>
          <w:rFonts w:ascii="Arial" w:eastAsia="Arial" w:hAnsi="Arial" w:cs="Arial"/>
          <w:sz w:val="24"/>
          <w:szCs w:val="24"/>
        </w:rPr>
        <w:t>EuroMASS</w:t>
      </w:r>
      <w:proofErr w:type="spellEnd"/>
      <w:r w:rsidRPr="00780D2B">
        <w:rPr>
          <w:rFonts w:ascii="Arial" w:eastAsia="Arial" w:hAnsi="Arial" w:cs="Arial"/>
          <w:sz w:val="24"/>
          <w:szCs w:val="24"/>
        </w:rPr>
        <w:t xml:space="preserve"> Soil-Structure Interaction Experiment: A Semi-Dense Array for the Analysis of Wave Propagation from a Single-Degree-of-Freedom Structure to Its Surroundings, </w:t>
      </w:r>
      <w:r w:rsidRPr="00780D2B">
        <w:rPr>
          <w:rFonts w:ascii="Arial" w:eastAsia="Arial" w:hAnsi="Arial" w:cs="Arial"/>
          <w:i/>
          <w:iCs/>
          <w:sz w:val="24"/>
          <w:szCs w:val="24"/>
        </w:rPr>
        <w:t>Seismological Research Letters</w:t>
      </w:r>
      <w:r w:rsidRPr="00780D2B">
        <w:rPr>
          <w:rFonts w:ascii="Arial" w:eastAsia="Arial" w:hAnsi="Arial" w:cs="Arial"/>
          <w:sz w:val="24"/>
          <w:szCs w:val="24"/>
        </w:rPr>
        <w:t xml:space="preserve"> </w:t>
      </w:r>
      <w:r w:rsidRPr="00780D2B">
        <w:rPr>
          <w:rFonts w:ascii="Arial" w:eastAsia="Arial" w:hAnsi="Arial" w:cs="Arial"/>
          <w:b/>
          <w:bCs/>
          <w:sz w:val="24"/>
          <w:szCs w:val="24"/>
        </w:rPr>
        <w:t>96</w:t>
      </w:r>
      <w:r w:rsidRPr="00780D2B">
        <w:rPr>
          <w:rFonts w:ascii="Arial" w:eastAsia="Arial" w:hAnsi="Arial" w:cs="Arial"/>
          <w:sz w:val="24"/>
          <w:szCs w:val="24"/>
        </w:rPr>
        <w:t xml:space="preserve">, no. 2A, 1201–1213, </w:t>
      </w:r>
      <w:proofErr w:type="spellStart"/>
      <w:r w:rsidRPr="00780D2B">
        <w:rPr>
          <w:rFonts w:ascii="Arial" w:eastAsia="Arial" w:hAnsi="Arial" w:cs="Arial"/>
          <w:sz w:val="24"/>
          <w:szCs w:val="24"/>
        </w:rPr>
        <w:t>doi</w:t>
      </w:r>
      <w:proofErr w:type="spellEnd"/>
      <w:r w:rsidRPr="00780D2B">
        <w:rPr>
          <w:rFonts w:ascii="Arial" w:eastAsia="Arial" w:hAnsi="Arial" w:cs="Arial"/>
          <w:sz w:val="24"/>
          <w:szCs w:val="24"/>
        </w:rPr>
        <w:t>:</w:t>
      </w:r>
      <w:hyperlink r:id="rId116">
        <w:r w:rsidR="007D17B2" w:rsidRPr="00780D2B">
          <w:rPr>
            <w:rFonts w:ascii="Arial" w:eastAsia="Arial" w:hAnsi="Arial" w:cs="Arial"/>
            <w:sz w:val="24"/>
            <w:szCs w:val="24"/>
          </w:rPr>
          <w:t xml:space="preserve"> </w:t>
        </w:r>
      </w:hyperlink>
      <w:hyperlink r:id="rId117">
        <w:r w:rsidR="007D17B2" w:rsidRPr="00780D2B">
          <w:rPr>
            <w:rFonts w:ascii="Arial" w:eastAsia="Arial" w:hAnsi="Arial" w:cs="Arial"/>
            <w:color w:val="1155CC"/>
            <w:sz w:val="24"/>
            <w:szCs w:val="24"/>
            <w:u w:val="single"/>
          </w:rPr>
          <w:t>10.1785/0220240018</w:t>
        </w:r>
      </w:hyperlink>
      <w:r w:rsidRPr="00780D2B">
        <w:rPr>
          <w:rFonts w:ascii="Arial" w:eastAsia="Arial" w:hAnsi="Arial" w:cs="Arial"/>
          <w:sz w:val="24"/>
          <w:szCs w:val="24"/>
        </w:rPr>
        <w:t>.</w:t>
      </w:r>
    </w:p>
    <w:p w14:paraId="7432D2FA" w14:textId="77777777" w:rsidR="007D17B2" w:rsidRPr="00780D2B" w:rsidRDefault="00000000">
      <w:pPr>
        <w:spacing w:before="240" w:after="120" w:line="480" w:lineRule="auto"/>
        <w:jc w:val="both"/>
        <w:rPr>
          <w:rFonts w:ascii="Arial" w:eastAsia="Arial" w:hAnsi="Arial" w:cs="Arial"/>
          <w:sz w:val="24"/>
          <w:szCs w:val="24"/>
        </w:rPr>
      </w:pPr>
      <w:proofErr w:type="spellStart"/>
      <w:r w:rsidRPr="00780D2B">
        <w:rPr>
          <w:rFonts w:ascii="Arial" w:eastAsia="Arial" w:hAnsi="Arial" w:cs="Arial"/>
          <w:sz w:val="24"/>
          <w:szCs w:val="24"/>
          <w:lang w:val="it-IT"/>
        </w:rPr>
        <w:t>Skłodowska</w:t>
      </w:r>
      <w:proofErr w:type="spellEnd"/>
      <w:r w:rsidRPr="00780D2B">
        <w:rPr>
          <w:rFonts w:ascii="Arial" w:eastAsia="Arial" w:hAnsi="Arial" w:cs="Arial"/>
          <w:sz w:val="24"/>
          <w:szCs w:val="24"/>
          <w:lang w:val="it-IT"/>
        </w:rPr>
        <w:t xml:space="preserve">, A. M., S. Parolai, B. Petrovic, and F. Romanelli (2023). </w:t>
      </w:r>
      <w:r w:rsidRPr="00780D2B">
        <w:rPr>
          <w:rFonts w:ascii="Arial" w:eastAsia="Arial" w:hAnsi="Arial" w:cs="Arial"/>
          <w:sz w:val="24"/>
          <w:szCs w:val="24"/>
        </w:rPr>
        <w:t xml:space="preserve">Soil-structure interaction assessment combining deconvolution of building and field recordings with polarization analysis: application to the Matera (Italy) experiment, </w:t>
      </w:r>
      <w:r w:rsidRPr="00780D2B">
        <w:rPr>
          <w:rFonts w:ascii="Arial" w:eastAsia="Arial" w:hAnsi="Arial" w:cs="Arial"/>
          <w:i/>
          <w:iCs/>
          <w:sz w:val="24"/>
          <w:szCs w:val="24"/>
        </w:rPr>
        <w:t>Bull Earthquake Eng</w:t>
      </w:r>
      <w:r w:rsidRPr="00780D2B">
        <w:rPr>
          <w:rFonts w:ascii="Arial" w:eastAsia="Arial" w:hAnsi="Arial" w:cs="Arial"/>
          <w:sz w:val="24"/>
          <w:szCs w:val="24"/>
        </w:rPr>
        <w:t xml:space="preserve"> </w:t>
      </w:r>
      <w:r w:rsidRPr="00780D2B">
        <w:rPr>
          <w:rFonts w:ascii="Arial" w:eastAsia="Arial" w:hAnsi="Arial" w:cs="Arial"/>
          <w:b/>
          <w:bCs/>
          <w:sz w:val="24"/>
          <w:szCs w:val="24"/>
        </w:rPr>
        <w:t>21</w:t>
      </w:r>
      <w:r w:rsidRPr="00780D2B">
        <w:rPr>
          <w:rFonts w:ascii="Arial" w:eastAsia="Arial" w:hAnsi="Arial" w:cs="Arial"/>
          <w:sz w:val="24"/>
          <w:szCs w:val="24"/>
        </w:rPr>
        <w:t xml:space="preserve">, no. 13, 5867–5891, </w:t>
      </w:r>
      <w:proofErr w:type="spellStart"/>
      <w:r w:rsidRPr="00780D2B">
        <w:rPr>
          <w:rFonts w:ascii="Arial" w:eastAsia="Arial" w:hAnsi="Arial" w:cs="Arial"/>
          <w:sz w:val="24"/>
          <w:szCs w:val="24"/>
        </w:rPr>
        <w:t>doi</w:t>
      </w:r>
      <w:proofErr w:type="spellEnd"/>
      <w:r w:rsidRPr="00780D2B">
        <w:rPr>
          <w:rFonts w:ascii="Arial" w:eastAsia="Arial" w:hAnsi="Arial" w:cs="Arial"/>
          <w:sz w:val="24"/>
          <w:szCs w:val="24"/>
        </w:rPr>
        <w:t>:</w:t>
      </w:r>
      <w:hyperlink r:id="rId118">
        <w:r w:rsidR="007D17B2" w:rsidRPr="00780D2B">
          <w:rPr>
            <w:rFonts w:ascii="Arial" w:eastAsia="Arial" w:hAnsi="Arial" w:cs="Arial"/>
            <w:sz w:val="24"/>
            <w:szCs w:val="24"/>
          </w:rPr>
          <w:t xml:space="preserve"> </w:t>
        </w:r>
      </w:hyperlink>
      <w:hyperlink r:id="rId119">
        <w:r w:rsidR="007D17B2" w:rsidRPr="00780D2B">
          <w:rPr>
            <w:rFonts w:ascii="Arial" w:eastAsia="Arial" w:hAnsi="Arial" w:cs="Arial"/>
            <w:color w:val="1155CC"/>
            <w:sz w:val="24"/>
            <w:szCs w:val="24"/>
            <w:u w:val="single"/>
          </w:rPr>
          <w:t>10.1007/s10518-023-01750-7</w:t>
        </w:r>
      </w:hyperlink>
      <w:r w:rsidRPr="00780D2B">
        <w:rPr>
          <w:rFonts w:ascii="Arial" w:eastAsia="Arial" w:hAnsi="Arial" w:cs="Arial"/>
          <w:sz w:val="24"/>
          <w:szCs w:val="24"/>
        </w:rPr>
        <w:t>.</w:t>
      </w:r>
    </w:p>
    <w:p w14:paraId="5CD4C31F" w14:textId="77777777" w:rsidR="007D17B2" w:rsidRPr="00780D2B" w:rsidRDefault="00000000">
      <w:pPr>
        <w:spacing w:before="240" w:after="120" w:line="480" w:lineRule="auto"/>
        <w:jc w:val="both"/>
        <w:rPr>
          <w:rFonts w:ascii="Arial" w:eastAsia="Arial" w:hAnsi="Arial" w:cs="Arial"/>
          <w:sz w:val="24"/>
          <w:szCs w:val="24"/>
        </w:rPr>
      </w:pPr>
      <w:r w:rsidRPr="00780D2B">
        <w:rPr>
          <w:rFonts w:ascii="Arial" w:eastAsia="Arial" w:hAnsi="Arial" w:cs="Arial"/>
          <w:sz w:val="24"/>
          <w:szCs w:val="24"/>
        </w:rPr>
        <w:t xml:space="preserve">Snieder, R., and E. Şafak (2006). Extracting the Building Response Using Seismic Interferometry: Theory and Application to the Millikan Library in Pasadena, California, </w:t>
      </w:r>
      <w:r w:rsidRPr="00780D2B">
        <w:rPr>
          <w:rFonts w:ascii="Arial" w:eastAsia="Arial" w:hAnsi="Arial" w:cs="Arial"/>
          <w:i/>
          <w:iCs/>
          <w:sz w:val="24"/>
          <w:szCs w:val="24"/>
        </w:rPr>
        <w:t>Bulletin of the Seismological Society of America</w:t>
      </w:r>
      <w:r w:rsidRPr="00780D2B">
        <w:rPr>
          <w:rFonts w:ascii="Arial" w:eastAsia="Arial" w:hAnsi="Arial" w:cs="Arial"/>
          <w:sz w:val="24"/>
          <w:szCs w:val="24"/>
        </w:rPr>
        <w:t xml:space="preserve"> </w:t>
      </w:r>
      <w:r w:rsidRPr="00780D2B">
        <w:rPr>
          <w:rFonts w:ascii="Arial" w:eastAsia="Arial" w:hAnsi="Arial" w:cs="Arial"/>
          <w:b/>
          <w:bCs/>
          <w:sz w:val="24"/>
          <w:szCs w:val="24"/>
        </w:rPr>
        <w:t>96</w:t>
      </w:r>
      <w:r w:rsidRPr="00780D2B">
        <w:rPr>
          <w:rFonts w:ascii="Arial" w:eastAsia="Arial" w:hAnsi="Arial" w:cs="Arial"/>
          <w:sz w:val="24"/>
          <w:szCs w:val="24"/>
        </w:rPr>
        <w:t xml:space="preserve">, no. 2, 586–598, </w:t>
      </w:r>
      <w:proofErr w:type="spellStart"/>
      <w:r w:rsidRPr="00780D2B">
        <w:rPr>
          <w:rFonts w:ascii="Arial" w:eastAsia="Arial" w:hAnsi="Arial" w:cs="Arial"/>
          <w:sz w:val="24"/>
          <w:szCs w:val="24"/>
        </w:rPr>
        <w:t>doi</w:t>
      </w:r>
      <w:proofErr w:type="spellEnd"/>
      <w:r w:rsidRPr="00780D2B">
        <w:rPr>
          <w:rFonts w:ascii="Arial" w:eastAsia="Arial" w:hAnsi="Arial" w:cs="Arial"/>
          <w:sz w:val="24"/>
          <w:szCs w:val="24"/>
        </w:rPr>
        <w:t>:</w:t>
      </w:r>
      <w:hyperlink r:id="rId120">
        <w:r w:rsidR="007D17B2" w:rsidRPr="00780D2B">
          <w:rPr>
            <w:rFonts w:ascii="Arial" w:eastAsia="Arial" w:hAnsi="Arial" w:cs="Arial"/>
            <w:sz w:val="24"/>
            <w:szCs w:val="24"/>
          </w:rPr>
          <w:t xml:space="preserve"> </w:t>
        </w:r>
      </w:hyperlink>
      <w:hyperlink r:id="rId121">
        <w:r w:rsidR="007D17B2" w:rsidRPr="00780D2B">
          <w:rPr>
            <w:rFonts w:ascii="Arial" w:eastAsia="Arial" w:hAnsi="Arial" w:cs="Arial"/>
            <w:color w:val="1155CC"/>
            <w:sz w:val="24"/>
            <w:szCs w:val="24"/>
            <w:u w:val="single"/>
          </w:rPr>
          <w:t>10.1785/0120050109</w:t>
        </w:r>
      </w:hyperlink>
      <w:r w:rsidRPr="00780D2B">
        <w:rPr>
          <w:rFonts w:ascii="Arial" w:eastAsia="Arial" w:hAnsi="Arial" w:cs="Arial"/>
          <w:sz w:val="24"/>
          <w:szCs w:val="24"/>
        </w:rPr>
        <w:t>.</w:t>
      </w:r>
    </w:p>
    <w:p w14:paraId="694E514E" w14:textId="77777777" w:rsidR="007D17B2" w:rsidRPr="00780D2B" w:rsidRDefault="00000000">
      <w:pPr>
        <w:spacing w:before="240" w:after="120" w:line="480" w:lineRule="auto"/>
        <w:jc w:val="both"/>
        <w:rPr>
          <w:rFonts w:ascii="Arial" w:eastAsia="Arial" w:hAnsi="Arial" w:cs="Arial"/>
          <w:sz w:val="24"/>
          <w:szCs w:val="24"/>
        </w:rPr>
      </w:pPr>
      <w:r w:rsidRPr="00780D2B">
        <w:rPr>
          <w:rFonts w:ascii="Arial" w:eastAsia="Arial" w:hAnsi="Arial" w:cs="Arial"/>
          <w:sz w:val="24"/>
          <w:szCs w:val="24"/>
        </w:rPr>
        <w:t xml:space="preserve">Sugan, M., and A. Vuan (2014). On the ability of Moho reflections to affect the ground motion in northeastern Italy: a case study of the 2012 Emilia seismic sequence, </w:t>
      </w:r>
      <w:r w:rsidRPr="00780D2B">
        <w:rPr>
          <w:rFonts w:ascii="Arial" w:eastAsia="Arial" w:hAnsi="Arial" w:cs="Arial"/>
          <w:i/>
          <w:iCs/>
          <w:sz w:val="24"/>
          <w:szCs w:val="24"/>
        </w:rPr>
        <w:t>Bull Earthquake Eng</w:t>
      </w:r>
      <w:r w:rsidRPr="00780D2B">
        <w:rPr>
          <w:rFonts w:ascii="Arial" w:eastAsia="Arial" w:hAnsi="Arial" w:cs="Arial"/>
          <w:sz w:val="24"/>
          <w:szCs w:val="24"/>
        </w:rPr>
        <w:t xml:space="preserve"> </w:t>
      </w:r>
      <w:r w:rsidRPr="00780D2B">
        <w:rPr>
          <w:rFonts w:ascii="Arial" w:eastAsia="Arial" w:hAnsi="Arial" w:cs="Arial"/>
          <w:b/>
          <w:bCs/>
          <w:sz w:val="24"/>
          <w:szCs w:val="24"/>
        </w:rPr>
        <w:t>12</w:t>
      </w:r>
      <w:r w:rsidRPr="00780D2B">
        <w:rPr>
          <w:rFonts w:ascii="Arial" w:eastAsia="Arial" w:hAnsi="Arial" w:cs="Arial"/>
          <w:sz w:val="24"/>
          <w:szCs w:val="24"/>
        </w:rPr>
        <w:t xml:space="preserve">, no. 5, 2179–2194, </w:t>
      </w:r>
      <w:proofErr w:type="spellStart"/>
      <w:r w:rsidRPr="00780D2B">
        <w:rPr>
          <w:rFonts w:ascii="Arial" w:eastAsia="Arial" w:hAnsi="Arial" w:cs="Arial"/>
          <w:sz w:val="24"/>
          <w:szCs w:val="24"/>
        </w:rPr>
        <w:t>doi</w:t>
      </w:r>
      <w:proofErr w:type="spellEnd"/>
      <w:r w:rsidRPr="00780D2B">
        <w:rPr>
          <w:rFonts w:ascii="Arial" w:eastAsia="Arial" w:hAnsi="Arial" w:cs="Arial"/>
          <w:sz w:val="24"/>
          <w:szCs w:val="24"/>
        </w:rPr>
        <w:t>:</w:t>
      </w:r>
      <w:hyperlink r:id="rId122">
        <w:r w:rsidR="007D17B2" w:rsidRPr="00780D2B">
          <w:rPr>
            <w:rFonts w:ascii="Arial" w:eastAsia="Arial" w:hAnsi="Arial" w:cs="Arial"/>
            <w:sz w:val="24"/>
            <w:szCs w:val="24"/>
          </w:rPr>
          <w:t xml:space="preserve"> </w:t>
        </w:r>
      </w:hyperlink>
      <w:hyperlink r:id="rId123">
        <w:r w:rsidR="007D17B2" w:rsidRPr="00780D2B">
          <w:rPr>
            <w:rFonts w:ascii="Arial" w:eastAsia="Arial" w:hAnsi="Arial" w:cs="Arial"/>
            <w:color w:val="1155CC"/>
            <w:sz w:val="24"/>
            <w:szCs w:val="24"/>
            <w:u w:val="single"/>
          </w:rPr>
          <w:t>10.1007/s10518-013-9564-y</w:t>
        </w:r>
      </w:hyperlink>
      <w:r w:rsidRPr="00780D2B">
        <w:rPr>
          <w:rFonts w:ascii="Arial" w:eastAsia="Arial" w:hAnsi="Arial" w:cs="Arial"/>
          <w:sz w:val="24"/>
          <w:szCs w:val="24"/>
        </w:rPr>
        <w:t>.</w:t>
      </w:r>
    </w:p>
    <w:p w14:paraId="7C91FD64" w14:textId="77777777" w:rsidR="007D17B2" w:rsidRPr="00780D2B" w:rsidRDefault="00000000">
      <w:pPr>
        <w:spacing w:before="240" w:after="120" w:line="480" w:lineRule="auto"/>
        <w:jc w:val="both"/>
        <w:rPr>
          <w:rFonts w:ascii="Arial" w:eastAsia="Arial" w:hAnsi="Arial" w:cs="Arial"/>
          <w:sz w:val="24"/>
          <w:szCs w:val="24"/>
        </w:rPr>
      </w:pPr>
      <w:r w:rsidRPr="00780D2B">
        <w:rPr>
          <w:rFonts w:ascii="Arial" w:eastAsia="Arial" w:hAnsi="Arial" w:cs="Arial"/>
          <w:sz w:val="24"/>
          <w:szCs w:val="24"/>
        </w:rPr>
        <w:lastRenderedPageBreak/>
        <w:t xml:space="preserve">The Matplotlib Development Team (2024). Matplotlib: Visualization with Python, </w:t>
      </w:r>
      <w:proofErr w:type="spellStart"/>
      <w:r w:rsidRPr="00780D2B">
        <w:rPr>
          <w:rFonts w:ascii="Arial" w:eastAsia="Arial" w:hAnsi="Arial" w:cs="Arial"/>
          <w:sz w:val="24"/>
          <w:szCs w:val="24"/>
        </w:rPr>
        <w:t>Zenodo</w:t>
      </w:r>
      <w:proofErr w:type="spellEnd"/>
      <w:r w:rsidRPr="00780D2B">
        <w:rPr>
          <w:rFonts w:ascii="Arial" w:eastAsia="Arial" w:hAnsi="Arial" w:cs="Arial"/>
          <w:sz w:val="24"/>
          <w:szCs w:val="24"/>
        </w:rPr>
        <w:t xml:space="preserve">, </w:t>
      </w:r>
      <w:proofErr w:type="spellStart"/>
      <w:r w:rsidRPr="00780D2B">
        <w:rPr>
          <w:rFonts w:ascii="Arial" w:eastAsia="Arial" w:hAnsi="Arial" w:cs="Arial"/>
          <w:sz w:val="24"/>
          <w:szCs w:val="24"/>
        </w:rPr>
        <w:t>doi</w:t>
      </w:r>
      <w:proofErr w:type="spellEnd"/>
      <w:r w:rsidRPr="00780D2B">
        <w:rPr>
          <w:rFonts w:ascii="Arial" w:eastAsia="Arial" w:hAnsi="Arial" w:cs="Arial"/>
          <w:sz w:val="24"/>
          <w:szCs w:val="24"/>
        </w:rPr>
        <w:t>:</w:t>
      </w:r>
      <w:hyperlink r:id="rId124">
        <w:r w:rsidR="007D17B2" w:rsidRPr="00780D2B">
          <w:rPr>
            <w:rFonts w:ascii="Arial" w:eastAsia="Arial" w:hAnsi="Arial" w:cs="Arial"/>
            <w:sz w:val="24"/>
            <w:szCs w:val="24"/>
          </w:rPr>
          <w:t xml:space="preserve"> </w:t>
        </w:r>
      </w:hyperlink>
      <w:hyperlink r:id="rId125">
        <w:r w:rsidR="007D17B2" w:rsidRPr="00780D2B">
          <w:rPr>
            <w:rFonts w:ascii="Arial" w:eastAsia="Arial" w:hAnsi="Arial" w:cs="Arial"/>
            <w:color w:val="1155CC"/>
            <w:sz w:val="24"/>
            <w:szCs w:val="24"/>
            <w:u w:val="single"/>
          </w:rPr>
          <w:t>10.5281/ZENODO.10916799</w:t>
        </w:r>
      </w:hyperlink>
      <w:r w:rsidRPr="00780D2B">
        <w:rPr>
          <w:rFonts w:ascii="Arial" w:eastAsia="Arial" w:hAnsi="Arial" w:cs="Arial"/>
          <w:sz w:val="24"/>
          <w:szCs w:val="24"/>
        </w:rPr>
        <w:t>.</w:t>
      </w:r>
    </w:p>
    <w:p w14:paraId="07B2E04A" w14:textId="77777777" w:rsidR="007D17B2" w:rsidRPr="00780D2B" w:rsidRDefault="00000000">
      <w:pPr>
        <w:spacing w:before="240" w:after="120" w:line="480" w:lineRule="auto"/>
        <w:jc w:val="both"/>
        <w:rPr>
          <w:rFonts w:ascii="Arial" w:eastAsia="Arial" w:hAnsi="Arial" w:cs="Arial"/>
          <w:sz w:val="24"/>
          <w:szCs w:val="24"/>
        </w:rPr>
      </w:pPr>
      <w:proofErr w:type="spellStart"/>
      <w:r w:rsidRPr="00780D2B">
        <w:rPr>
          <w:rFonts w:ascii="Arial" w:eastAsia="Arial" w:hAnsi="Arial" w:cs="Arial"/>
          <w:sz w:val="24"/>
          <w:szCs w:val="24"/>
          <w:lang w:val="it-IT"/>
        </w:rPr>
        <w:t>Vannoli</w:t>
      </w:r>
      <w:proofErr w:type="spellEnd"/>
      <w:r w:rsidRPr="00780D2B">
        <w:rPr>
          <w:rFonts w:ascii="Arial" w:eastAsia="Arial" w:hAnsi="Arial" w:cs="Arial"/>
          <w:sz w:val="24"/>
          <w:szCs w:val="24"/>
          <w:lang w:val="it-IT"/>
        </w:rPr>
        <w:t xml:space="preserve">, P., P. Burrato, and G. Valensise (2015). </w:t>
      </w:r>
      <w:r w:rsidRPr="00780D2B">
        <w:rPr>
          <w:rFonts w:ascii="Arial" w:eastAsia="Arial" w:hAnsi="Arial" w:cs="Arial"/>
          <w:sz w:val="24"/>
          <w:szCs w:val="24"/>
        </w:rPr>
        <w:t xml:space="preserve">The </w:t>
      </w:r>
      <w:proofErr w:type="spellStart"/>
      <w:r w:rsidRPr="00780D2B">
        <w:rPr>
          <w:rFonts w:ascii="Arial" w:eastAsia="Arial" w:hAnsi="Arial" w:cs="Arial"/>
          <w:sz w:val="24"/>
          <w:szCs w:val="24"/>
        </w:rPr>
        <w:t>Seismotectonics</w:t>
      </w:r>
      <w:proofErr w:type="spellEnd"/>
      <w:r w:rsidRPr="00780D2B">
        <w:rPr>
          <w:rFonts w:ascii="Arial" w:eastAsia="Arial" w:hAnsi="Arial" w:cs="Arial"/>
          <w:sz w:val="24"/>
          <w:szCs w:val="24"/>
        </w:rPr>
        <w:t xml:space="preserve"> of the Po Plain (Northern Italy): Tectonic Diversity in a Blind Faulting Domain, </w:t>
      </w:r>
      <w:r w:rsidRPr="00780D2B">
        <w:rPr>
          <w:rFonts w:ascii="Arial" w:eastAsia="Arial" w:hAnsi="Arial" w:cs="Arial"/>
          <w:i/>
          <w:iCs/>
          <w:sz w:val="24"/>
          <w:szCs w:val="24"/>
        </w:rPr>
        <w:t>Pure Appl. Geophys.</w:t>
      </w:r>
      <w:r w:rsidRPr="00780D2B">
        <w:rPr>
          <w:rFonts w:ascii="Arial" w:eastAsia="Arial" w:hAnsi="Arial" w:cs="Arial"/>
          <w:sz w:val="24"/>
          <w:szCs w:val="24"/>
        </w:rPr>
        <w:t xml:space="preserve"> </w:t>
      </w:r>
      <w:r w:rsidRPr="00780D2B">
        <w:rPr>
          <w:rFonts w:ascii="Arial" w:eastAsia="Arial" w:hAnsi="Arial" w:cs="Arial"/>
          <w:b/>
          <w:bCs/>
          <w:sz w:val="24"/>
          <w:szCs w:val="24"/>
        </w:rPr>
        <w:t>172</w:t>
      </w:r>
      <w:r w:rsidRPr="00780D2B">
        <w:rPr>
          <w:rFonts w:ascii="Arial" w:eastAsia="Arial" w:hAnsi="Arial" w:cs="Arial"/>
          <w:sz w:val="24"/>
          <w:szCs w:val="24"/>
        </w:rPr>
        <w:t xml:space="preserve">, no. 5, 1105–1142, </w:t>
      </w:r>
      <w:proofErr w:type="spellStart"/>
      <w:r w:rsidRPr="00780D2B">
        <w:rPr>
          <w:rFonts w:ascii="Arial" w:eastAsia="Arial" w:hAnsi="Arial" w:cs="Arial"/>
          <w:sz w:val="24"/>
          <w:szCs w:val="24"/>
        </w:rPr>
        <w:t>doi</w:t>
      </w:r>
      <w:proofErr w:type="spellEnd"/>
      <w:r w:rsidRPr="00780D2B">
        <w:rPr>
          <w:rFonts w:ascii="Arial" w:eastAsia="Arial" w:hAnsi="Arial" w:cs="Arial"/>
          <w:sz w:val="24"/>
          <w:szCs w:val="24"/>
        </w:rPr>
        <w:t>:</w:t>
      </w:r>
      <w:hyperlink r:id="rId126">
        <w:r w:rsidR="007D17B2" w:rsidRPr="00780D2B">
          <w:rPr>
            <w:rFonts w:ascii="Arial" w:eastAsia="Arial" w:hAnsi="Arial" w:cs="Arial"/>
            <w:sz w:val="24"/>
            <w:szCs w:val="24"/>
          </w:rPr>
          <w:t xml:space="preserve"> </w:t>
        </w:r>
      </w:hyperlink>
      <w:hyperlink r:id="rId127">
        <w:r w:rsidR="007D17B2" w:rsidRPr="00780D2B">
          <w:rPr>
            <w:rFonts w:ascii="Arial" w:eastAsia="Arial" w:hAnsi="Arial" w:cs="Arial"/>
            <w:color w:val="1155CC"/>
            <w:sz w:val="24"/>
            <w:szCs w:val="24"/>
            <w:u w:val="single"/>
          </w:rPr>
          <w:t>10.1007/s00024-014-0873-0</w:t>
        </w:r>
      </w:hyperlink>
      <w:r w:rsidRPr="00780D2B">
        <w:rPr>
          <w:rFonts w:ascii="Arial" w:eastAsia="Arial" w:hAnsi="Arial" w:cs="Arial"/>
          <w:sz w:val="24"/>
          <w:szCs w:val="24"/>
        </w:rPr>
        <w:t>.</w:t>
      </w:r>
    </w:p>
    <w:p w14:paraId="74532D34" w14:textId="77777777" w:rsidR="007D17B2" w:rsidRPr="00780D2B" w:rsidRDefault="00000000">
      <w:pPr>
        <w:spacing w:before="240" w:after="120" w:line="480" w:lineRule="auto"/>
        <w:jc w:val="both"/>
        <w:rPr>
          <w:rFonts w:ascii="Arial" w:eastAsia="Arial" w:hAnsi="Arial" w:cs="Arial"/>
          <w:sz w:val="24"/>
          <w:szCs w:val="24"/>
        </w:rPr>
      </w:pPr>
      <w:r w:rsidRPr="00780D2B">
        <w:rPr>
          <w:rFonts w:ascii="Arial" w:eastAsia="Arial" w:hAnsi="Arial" w:cs="Arial"/>
          <w:sz w:val="24"/>
          <w:szCs w:val="24"/>
        </w:rPr>
        <w:t xml:space="preserve">Varone, C., L. Lenti, S. Martino, and J. F. </w:t>
      </w:r>
      <w:proofErr w:type="spellStart"/>
      <w:r w:rsidRPr="00780D2B">
        <w:rPr>
          <w:rFonts w:ascii="Arial" w:eastAsia="Arial" w:hAnsi="Arial" w:cs="Arial"/>
          <w:sz w:val="24"/>
          <w:szCs w:val="24"/>
        </w:rPr>
        <w:t>Semblat</w:t>
      </w:r>
      <w:proofErr w:type="spellEnd"/>
      <w:r w:rsidRPr="00780D2B">
        <w:rPr>
          <w:rFonts w:ascii="Arial" w:eastAsia="Arial" w:hAnsi="Arial" w:cs="Arial"/>
          <w:sz w:val="24"/>
          <w:szCs w:val="24"/>
        </w:rPr>
        <w:t xml:space="preserve"> (2021). Spatial variability of the urban ground motion in a highly heterogeneous site-city configurations, </w:t>
      </w:r>
      <w:r w:rsidRPr="00780D2B">
        <w:rPr>
          <w:rFonts w:ascii="Arial" w:eastAsia="Arial" w:hAnsi="Arial" w:cs="Arial"/>
          <w:i/>
          <w:iCs/>
          <w:sz w:val="24"/>
          <w:szCs w:val="24"/>
        </w:rPr>
        <w:t>Bull Earthquake Eng</w:t>
      </w:r>
      <w:r w:rsidRPr="00780D2B">
        <w:rPr>
          <w:rFonts w:ascii="Arial" w:eastAsia="Arial" w:hAnsi="Arial" w:cs="Arial"/>
          <w:sz w:val="24"/>
          <w:szCs w:val="24"/>
        </w:rPr>
        <w:t xml:space="preserve"> </w:t>
      </w:r>
      <w:r w:rsidRPr="00780D2B">
        <w:rPr>
          <w:rFonts w:ascii="Arial" w:eastAsia="Arial" w:hAnsi="Arial" w:cs="Arial"/>
          <w:b/>
          <w:bCs/>
          <w:sz w:val="24"/>
          <w:szCs w:val="24"/>
        </w:rPr>
        <w:t>19</w:t>
      </w:r>
      <w:r w:rsidRPr="00780D2B">
        <w:rPr>
          <w:rFonts w:ascii="Arial" w:eastAsia="Arial" w:hAnsi="Arial" w:cs="Arial"/>
          <w:sz w:val="24"/>
          <w:szCs w:val="24"/>
        </w:rPr>
        <w:t xml:space="preserve">, no. 1, 27–45, </w:t>
      </w:r>
      <w:proofErr w:type="spellStart"/>
      <w:r w:rsidRPr="00780D2B">
        <w:rPr>
          <w:rFonts w:ascii="Arial" w:eastAsia="Arial" w:hAnsi="Arial" w:cs="Arial"/>
          <w:sz w:val="24"/>
          <w:szCs w:val="24"/>
        </w:rPr>
        <w:t>doi</w:t>
      </w:r>
      <w:proofErr w:type="spellEnd"/>
      <w:r w:rsidRPr="00780D2B">
        <w:rPr>
          <w:rFonts w:ascii="Arial" w:eastAsia="Arial" w:hAnsi="Arial" w:cs="Arial"/>
          <w:sz w:val="24"/>
          <w:szCs w:val="24"/>
        </w:rPr>
        <w:t>:</w:t>
      </w:r>
      <w:hyperlink r:id="rId128">
        <w:r w:rsidR="007D17B2" w:rsidRPr="00780D2B">
          <w:rPr>
            <w:rFonts w:ascii="Arial" w:eastAsia="Arial" w:hAnsi="Arial" w:cs="Arial"/>
            <w:sz w:val="24"/>
            <w:szCs w:val="24"/>
          </w:rPr>
          <w:t xml:space="preserve"> </w:t>
        </w:r>
      </w:hyperlink>
      <w:hyperlink r:id="rId129">
        <w:r w:rsidR="007D17B2" w:rsidRPr="00780D2B">
          <w:rPr>
            <w:rFonts w:ascii="Arial" w:eastAsia="Arial" w:hAnsi="Arial" w:cs="Arial"/>
            <w:color w:val="1155CC"/>
            <w:sz w:val="24"/>
            <w:szCs w:val="24"/>
            <w:u w:val="single"/>
          </w:rPr>
          <w:t>10.1007/s10518-020-00965-2</w:t>
        </w:r>
      </w:hyperlink>
      <w:r w:rsidRPr="00780D2B">
        <w:rPr>
          <w:rFonts w:ascii="Arial" w:eastAsia="Arial" w:hAnsi="Arial" w:cs="Arial"/>
          <w:sz w:val="24"/>
          <w:szCs w:val="24"/>
        </w:rPr>
        <w:t>.</w:t>
      </w:r>
    </w:p>
    <w:p w14:paraId="35FA182E" w14:textId="77777777" w:rsidR="007D17B2" w:rsidRPr="00780D2B" w:rsidRDefault="00000000">
      <w:pPr>
        <w:spacing w:before="240" w:after="120" w:line="480" w:lineRule="auto"/>
        <w:jc w:val="both"/>
        <w:rPr>
          <w:rFonts w:ascii="Arial" w:eastAsia="Arial" w:hAnsi="Arial" w:cs="Arial"/>
          <w:sz w:val="24"/>
          <w:szCs w:val="24"/>
        </w:rPr>
      </w:pPr>
      <w:r w:rsidRPr="00780D2B">
        <w:rPr>
          <w:rFonts w:ascii="Arial" w:eastAsia="Arial" w:hAnsi="Arial" w:cs="Arial"/>
          <w:sz w:val="24"/>
          <w:szCs w:val="24"/>
        </w:rPr>
        <w:t>Wen, W., and E. Kalkan (2017). System Identification Based on Deconvolution and Cross Correlation: An Application to a 20</w:t>
      </w:r>
      <w:r w:rsidRPr="00780D2B">
        <w:rPr>
          <w:rFonts w:ascii="Cambria Math" w:eastAsia="Cambria Math" w:hAnsi="Cambria Math" w:cs="Cambria Math"/>
          <w:sz w:val="24"/>
          <w:szCs w:val="24"/>
        </w:rPr>
        <w:t>‐</w:t>
      </w:r>
      <w:r w:rsidRPr="00780D2B">
        <w:rPr>
          <w:rFonts w:ascii="Arial" w:eastAsia="Arial" w:hAnsi="Arial" w:cs="Arial"/>
          <w:sz w:val="24"/>
          <w:szCs w:val="24"/>
        </w:rPr>
        <w:t xml:space="preserve">Story Instrumented Building in Anchorage, Alaska, </w:t>
      </w:r>
      <w:r w:rsidRPr="00780D2B">
        <w:rPr>
          <w:rFonts w:ascii="Arial" w:eastAsia="Arial" w:hAnsi="Arial" w:cs="Arial"/>
          <w:i/>
          <w:iCs/>
          <w:sz w:val="24"/>
          <w:szCs w:val="24"/>
        </w:rPr>
        <w:t>Bulletin of the Seismological Society of America</w:t>
      </w:r>
      <w:r w:rsidRPr="00780D2B">
        <w:rPr>
          <w:rFonts w:ascii="Arial" w:eastAsia="Arial" w:hAnsi="Arial" w:cs="Arial"/>
          <w:sz w:val="24"/>
          <w:szCs w:val="24"/>
        </w:rPr>
        <w:t xml:space="preserve"> </w:t>
      </w:r>
      <w:r w:rsidRPr="00780D2B">
        <w:rPr>
          <w:rFonts w:ascii="Arial" w:eastAsia="Arial" w:hAnsi="Arial" w:cs="Arial"/>
          <w:b/>
          <w:bCs/>
          <w:sz w:val="24"/>
          <w:szCs w:val="24"/>
        </w:rPr>
        <w:t>107</w:t>
      </w:r>
      <w:r w:rsidRPr="00780D2B">
        <w:rPr>
          <w:rFonts w:ascii="Arial" w:eastAsia="Arial" w:hAnsi="Arial" w:cs="Arial"/>
          <w:sz w:val="24"/>
          <w:szCs w:val="24"/>
        </w:rPr>
        <w:t xml:space="preserve">, no. 2, 718–740, </w:t>
      </w:r>
      <w:proofErr w:type="spellStart"/>
      <w:r w:rsidRPr="00780D2B">
        <w:rPr>
          <w:rFonts w:ascii="Arial" w:eastAsia="Arial" w:hAnsi="Arial" w:cs="Arial"/>
          <w:sz w:val="24"/>
          <w:szCs w:val="24"/>
        </w:rPr>
        <w:t>doi</w:t>
      </w:r>
      <w:proofErr w:type="spellEnd"/>
      <w:r w:rsidRPr="00780D2B">
        <w:rPr>
          <w:rFonts w:ascii="Arial" w:eastAsia="Arial" w:hAnsi="Arial" w:cs="Arial"/>
          <w:sz w:val="24"/>
          <w:szCs w:val="24"/>
        </w:rPr>
        <w:t>:</w:t>
      </w:r>
      <w:hyperlink r:id="rId130">
        <w:r w:rsidR="007D17B2" w:rsidRPr="00780D2B">
          <w:rPr>
            <w:rFonts w:ascii="Arial" w:eastAsia="Arial" w:hAnsi="Arial" w:cs="Arial"/>
            <w:sz w:val="24"/>
            <w:szCs w:val="24"/>
          </w:rPr>
          <w:t xml:space="preserve"> </w:t>
        </w:r>
      </w:hyperlink>
      <w:hyperlink r:id="rId131">
        <w:r w:rsidR="007D17B2" w:rsidRPr="00780D2B">
          <w:rPr>
            <w:rFonts w:ascii="Arial" w:eastAsia="Arial" w:hAnsi="Arial" w:cs="Arial"/>
            <w:color w:val="1155CC"/>
            <w:sz w:val="24"/>
            <w:szCs w:val="24"/>
            <w:u w:val="single"/>
          </w:rPr>
          <w:t>10.1785/0120160069</w:t>
        </w:r>
      </w:hyperlink>
      <w:r w:rsidRPr="00780D2B">
        <w:rPr>
          <w:rFonts w:ascii="Arial" w:eastAsia="Arial" w:hAnsi="Arial" w:cs="Arial"/>
          <w:sz w:val="24"/>
          <w:szCs w:val="24"/>
        </w:rPr>
        <w:t>.</w:t>
      </w:r>
    </w:p>
    <w:p w14:paraId="567E72F4" w14:textId="77777777" w:rsidR="007D17B2" w:rsidRPr="00780D2B" w:rsidRDefault="00000000">
      <w:pPr>
        <w:spacing w:before="240" w:after="120" w:line="480" w:lineRule="auto"/>
        <w:jc w:val="both"/>
        <w:rPr>
          <w:rFonts w:ascii="Arial" w:eastAsia="Arial" w:hAnsi="Arial" w:cs="Arial"/>
          <w:sz w:val="24"/>
          <w:szCs w:val="24"/>
        </w:rPr>
      </w:pPr>
      <w:r w:rsidRPr="00780D2B">
        <w:rPr>
          <w:rFonts w:ascii="Arial" w:eastAsia="Arial" w:hAnsi="Arial" w:cs="Arial"/>
          <w:sz w:val="24"/>
          <w:szCs w:val="24"/>
        </w:rPr>
        <w:t xml:space="preserve">Williams, E. F., T. H. Heaton, Z. Zhan, and V. R. Lambert (2022). Variability in the Natural Frequencies of a Nine-Story Concrete Building from Seconds to Decades, </w:t>
      </w:r>
      <w:r w:rsidRPr="00780D2B">
        <w:rPr>
          <w:rFonts w:ascii="Arial" w:eastAsia="Arial" w:hAnsi="Arial" w:cs="Arial"/>
          <w:i/>
          <w:iCs/>
          <w:sz w:val="24"/>
          <w:szCs w:val="24"/>
        </w:rPr>
        <w:t>The Seismic Record</w:t>
      </w:r>
      <w:r w:rsidRPr="00780D2B">
        <w:rPr>
          <w:rFonts w:ascii="Arial" w:eastAsia="Arial" w:hAnsi="Arial" w:cs="Arial"/>
          <w:sz w:val="24"/>
          <w:szCs w:val="24"/>
        </w:rPr>
        <w:t xml:space="preserve"> </w:t>
      </w:r>
      <w:r w:rsidRPr="00780D2B">
        <w:rPr>
          <w:rFonts w:ascii="Arial" w:eastAsia="Arial" w:hAnsi="Arial" w:cs="Arial"/>
          <w:b/>
          <w:bCs/>
          <w:sz w:val="24"/>
          <w:szCs w:val="24"/>
        </w:rPr>
        <w:t>2</w:t>
      </w:r>
      <w:r w:rsidRPr="00780D2B">
        <w:rPr>
          <w:rFonts w:ascii="Arial" w:eastAsia="Arial" w:hAnsi="Arial" w:cs="Arial"/>
          <w:sz w:val="24"/>
          <w:szCs w:val="24"/>
        </w:rPr>
        <w:t xml:space="preserve">, no. 4, 237–247, </w:t>
      </w:r>
      <w:proofErr w:type="spellStart"/>
      <w:r w:rsidRPr="00780D2B">
        <w:rPr>
          <w:rFonts w:ascii="Arial" w:eastAsia="Arial" w:hAnsi="Arial" w:cs="Arial"/>
          <w:sz w:val="24"/>
          <w:szCs w:val="24"/>
        </w:rPr>
        <w:t>doi</w:t>
      </w:r>
      <w:proofErr w:type="spellEnd"/>
      <w:r w:rsidRPr="00780D2B">
        <w:rPr>
          <w:rFonts w:ascii="Arial" w:eastAsia="Arial" w:hAnsi="Arial" w:cs="Arial"/>
          <w:sz w:val="24"/>
          <w:szCs w:val="24"/>
        </w:rPr>
        <w:t>:</w:t>
      </w:r>
      <w:hyperlink r:id="rId132">
        <w:r w:rsidR="007D17B2" w:rsidRPr="00780D2B">
          <w:rPr>
            <w:rFonts w:ascii="Arial" w:eastAsia="Arial" w:hAnsi="Arial" w:cs="Arial"/>
            <w:sz w:val="24"/>
            <w:szCs w:val="24"/>
          </w:rPr>
          <w:t xml:space="preserve"> </w:t>
        </w:r>
      </w:hyperlink>
      <w:hyperlink r:id="rId133">
        <w:r w:rsidR="007D17B2" w:rsidRPr="00780D2B">
          <w:rPr>
            <w:rFonts w:ascii="Arial" w:eastAsia="Arial" w:hAnsi="Arial" w:cs="Arial"/>
            <w:color w:val="1155CC"/>
            <w:sz w:val="24"/>
            <w:szCs w:val="24"/>
            <w:u w:val="single"/>
          </w:rPr>
          <w:t>10.1785/0320220032</w:t>
        </w:r>
      </w:hyperlink>
      <w:r w:rsidRPr="00780D2B">
        <w:rPr>
          <w:rFonts w:ascii="Arial" w:eastAsia="Arial" w:hAnsi="Arial" w:cs="Arial"/>
          <w:sz w:val="24"/>
          <w:szCs w:val="24"/>
        </w:rPr>
        <w:t>.</w:t>
      </w:r>
    </w:p>
    <w:p w14:paraId="4C0CD71A" w14:textId="77777777" w:rsidR="007D17B2" w:rsidRPr="00780D2B" w:rsidRDefault="00000000" w:rsidP="00C03766">
      <w:pPr>
        <w:spacing w:before="240" w:after="360" w:line="480" w:lineRule="auto"/>
        <w:jc w:val="both"/>
        <w:rPr>
          <w:rFonts w:ascii="Arial" w:eastAsia="Arial" w:hAnsi="Arial" w:cs="Arial"/>
          <w:sz w:val="24"/>
          <w:szCs w:val="24"/>
        </w:rPr>
      </w:pPr>
      <w:r w:rsidRPr="00780D2B">
        <w:rPr>
          <w:rFonts w:ascii="Arial" w:eastAsia="Arial" w:hAnsi="Arial" w:cs="Arial"/>
          <w:sz w:val="24"/>
          <w:szCs w:val="24"/>
        </w:rPr>
        <w:t xml:space="preserve">Wirgin, A., and P.-Y. Bard (1996). Effects of buildings on the duration and amplitude of ground motion in Mexico City, </w:t>
      </w:r>
      <w:r w:rsidRPr="00780D2B">
        <w:rPr>
          <w:rFonts w:ascii="Arial" w:eastAsia="Arial" w:hAnsi="Arial" w:cs="Arial"/>
          <w:i/>
          <w:iCs/>
          <w:sz w:val="24"/>
          <w:szCs w:val="24"/>
        </w:rPr>
        <w:t>Bulletin of the Seismological Society of America</w:t>
      </w:r>
      <w:r w:rsidRPr="00780D2B">
        <w:rPr>
          <w:rFonts w:ascii="Arial" w:eastAsia="Arial" w:hAnsi="Arial" w:cs="Arial"/>
          <w:sz w:val="24"/>
          <w:szCs w:val="24"/>
        </w:rPr>
        <w:t xml:space="preserve"> </w:t>
      </w:r>
      <w:r w:rsidRPr="00780D2B">
        <w:rPr>
          <w:rFonts w:ascii="Arial" w:eastAsia="Arial" w:hAnsi="Arial" w:cs="Arial"/>
          <w:b/>
          <w:bCs/>
          <w:sz w:val="24"/>
          <w:szCs w:val="24"/>
        </w:rPr>
        <w:t>86</w:t>
      </w:r>
      <w:r w:rsidRPr="00780D2B">
        <w:rPr>
          <w:rFonts w:ascii="Arial" w:eastAsia="Arial" w:hAnsi="Arial" w:cs="Arial"/>
          <w:sz w:val="24"/>
          <w:szCs w:val="24"/>
        </w:rPr>
        <w:t xml:space="preserve">, no. 3, 914–920, </w:t>
      </w:r>
      <w:proofErr w:type="spellStart"/>
      <w:r w:rsidRPr="00780D2B">
        <w:rPr>
          <w:rFonts w:ascii="Arial" w:eastAsia="Arial" w:hAnsi="Arial" w:cs="Arial"/>
          <w:sz w:val="24"/>
          <w:szCs w:val="24"/>
        </w:rPr>
        <w:t>doi</w:t>
      </w:r>
      <w:proofErr w:type="spellEnd"/>
      <w:r w:rsidRPr="00780D2B">
        <w:rPr>
          <w:rFonts w:ascii="Arial" w:eastAsia="Arial" w:hAnsi="Arial" w:cs="Arial"/>
          <w:sz w:val="24"/>
          <w:szCs w:val="24"/>
        </w:rPr>
        <w:t>:</w:t>
      </w:r>
      <w:hyperlink r:id="rId134">
        <w:r w:rsidR="007D17B2" w:rsidRPr="00780D2B">
          <w:rPr>
            <w:rFonts w:ascii="Arial" w:eastAsia="Arial" w:hAnsi="Arial" w:cs="Arial"/>
            <w:sz w:val="24"/>
            <w:szCs w:val="24"/>
          </w:rPr>
          <w:t xml:space="preserve"> </w:t>
        </w:r>
      </w:hyperlink>
      <w:hyperlink r:id="rId135">
        <w:r w:rsidR="007D17B2" w:rsidRPr="00780D2B">
          <w:rPr>
            <w:rFonts w:ascii="Arial" w:eastAsia="Arial" w:hAnsi="Arial" w:cs="Arial"/>
            <w:color w:val="1155CC"/>
            <w:sz w:val="24"/>
            <w:szCs w:val="24"/>
            <w:u w:val="single"/>
          </w:rPr>
          <w:t>10.1785/BSSA0860030914</w:t>
        </w:r>
      </w:hyperlink>
      <w:r w:rsidRPr="00780D2B">
        <w:rPr>
          <w:rFonts w:ascii="Arial" w:eastAsia="Arial" w:hAnsi="Arial" w:cs="Arial"/>
          <w:sz w:val="24"/>
          <w:szCs w:val="24"/>
        </w:rPr>
        <w:t>.</w:t>
      </w:r>
    </w:p>
    <w:p w14:paraId="4B6CF7AE" w14:textId="1D5F3357" w:rsidR="00C03766" w:rsidRDefault="00C03766" w:rsidP="00C03766">
      <w:pPr>
        <w:pStyle w:val="Titolo1"/>
        <w:spacing w:line="360" w:lineRule="auto"/>
        <w:rPr>
          <w:rFonts w:ascii="Arial" w:eastAsia="Arial" w:hAnsi="Arial" w:cs="Arial"/>
        </w:rPr>
      </w:pPr>
      <w:r w:rsidRPr="00D1500A">
        <w:rPr>
          <w:rFonts w:ascii="Arial" w:eastAsia="Arial" w:hAnsi="Arial" w:cs="Arial"/>
        </w:rPr>
        <w:t>Mailing addresses</w:t>
      </w:r>
    </w:p>
    <w:p w14:paraId="69347E7C" w14:textId="40D6053E" w:rsidR="0088604B" w:rsidRPr="000819F4" w:rsidRDefault="00C03766" w:rsidP="00C03766">
      <w:pPr>
        <w:spacing w:line="360" w:lineRule="auto"/>
        <w:rPr>
          <w:rFonts w:ascii="Arial" w:hAnsi="Arial" w:cs="Arial"/>
          <w:sz w:val="24"/>
          <w:szCs w:val="24"/>
          <w:lang w:val="en-US"/>
        </w:rPr>
      </w:pPr>
      <w:r w:rsidRPr="00060660">
        <w:rPr>
          <w:rFonts w:ascii="Arial" w:hAnsi="Arial" w:cs="Arial"/>
          <w:sz w:val="24"/>
          <w:szCs w:val="24"/>
          <w:lang w:val="en-US"/>
        </w:rPr>
        <w:t xml:space="preserve">Laura Cataldi </w:t>
      </w:r>
      <w:hyperlink r:id="rId136" w:history="1">
        <w:r w:rsidR="0088604B" w:rsidRPr="00060660">
          <w:rPr>
            <w:rStyle w:val="Collegamentoipertestuale"/>
            <w:rFonts w:ascii="Arial" w:hAnsi="Arial" w:cs="Arial"/>
            <w:sz w:val="24"/>
            <w:szCs w:val="24"/>
            <w:lang w:val="en-US"/>
          </w:rPr>
          <w:t>lcataldi@ogs.it</w:t>
        </w:r>
      </w:hyperlink>
    </w:p>
    <w:p w14:paraId="09AA0F1A" w14:textId="5D5E9E0D" w:rsidR="0088604B" w:rsidRPr="002F3D9E" w:rsidRDefault="00C03766" w:rsidP="00C03766">
      <w:pPr>
        <w:spacing w:line="360" w:lineRule="auto"/>
        <w:rPr>
          <w:rFonts w:ascii="Arial" w:hAnsi="Arial" w:cs="Arial"/>
          <w:sz w:val="24"/>
          <w:szCs w:val="24"/>
          <w:lang w:val="it-IT"/>
        </w:rPr>
      </w:pPr>
      <w:r w:rsidRPr="002F3D9E">
        <w:rPr>
          <w:rFonts w:ascii="Arial" w:hAnsi="Arial" w:cs="Arial"/>
          <w:sz w:val="24"/>
          <w:szCs w:val="24"/>
          <w:lang w:val="it-IT"/>
        </w:rPr>
        <w:t>Giorgio Capotosti</w:t>
      </w:r>
      <w:r w:rsidR="002F3D9E" w:rsidRPr="002F3D9E">
        <w:rPr>
          <w:rFonts w:ascii="Arial" w:hAnsi="Arial" w:cs="Arial"/>
          <w:sz w:val="24"/>
          <w:szCs w:val="24"/>
          <w:lang w:val="it-IT"/>
        </w:rPr>
        <w:t xml:space="preserve"> </w:t>
      </w:r>
      <w:hyperlink r:id="rId137" w:history="1">
        <w:r w:rsidRPr="002F3D9E">
          <w:rPr>
            <w:rStyle w:val="Collegamentoipertestuale"/>
            <w:rFonts w:ascii="Arial" w:hAnsi="Arial" w:cs="Arial"/>
            <w:sz w:val="24"/>
            <w:szCs w:val="24"/>
            <w:lang w:val="it-IT"/>
          </w:rPr>
          <w:t>gcapotosti@ogs.it</w:t>
        </w:r>
      </w:hyperlink>
      <w:r w:rsidRPr="002F3D9E">
        <w:rPr>
          <w:rFonts w:ascii="Arial" w:hAnsi="Arial" w:cs="Arial"/>
          <w:sz w:val="24"/>
          <w:szCs w:val="24"/>
          <w:lang w:val="it-IT"/>
        </w:rPr>
        <w:t xml:space="preserve"> </w:t>
      </w:r>
    </w:p>
    <w:p w14:paraId="7B0CBE99" w14:textId="456F4C8B" w:rsidR="0088604B" w:rsidRDefault="00C03766" w:rsidP="00C03766">
      <w:pPr>
        <w:spacing w:line="360" w:lineRule="auto"/>
        <w:rPr>
          <w:rFonts w:ascii="Arial" w:hAnsi="Arial" w:cs="Arial"/>
          <w:sz w:val="24"/>
          <w:szCs w:val="24"/>
          <w:lang w:val="it-IT"/>
        </w:rPr>
      </w:pPr>
      <w:r w:rsidRPr="002F3D9E">
        <w:rPr>
          <w:rFonts w:ascii="Arial" w:hAnsi="Arial" w:cs="Arial"/>
          <w:sz w:val="24"/>
          <w:szCs w:val="24"/>
          <w:lang w:val="it-IT"/>
        </w:rPr>
        <w:lastRenderedPageBreak/>
        <w:t xml:space="preserve">Deniz </w:t>
      </w:r>
      <w:proofErr w:type="spellStart"/>
      <w:r w:rsidRPr="002F3D9E">
        <w:rPr>
          <w:rFonts w:ascii="Arial" w:hAnsi="Arial" w:cs="Arial"/>
          <w:sz w:val="24"/>
          <w:szCs w:val="24"/>
          <w:lang w:val="it-IT"/>
        </w:rPr>
        <w:t>Ertuncay</w:t>
      </w:r>
      <w:proofErr w:type="spellEnd"/>
      <w:r w:rsidRPr="002F3D9E">
        <w:rPr>
          <w:rFonts w:ascii="Arial" w:hAnsi="Arial" w:cs="Arial"/>
          <w:sz w:val="24"/>
          <w:szCs w:val="24"/>
          <w:lang w:val="it-IT"/>
        </w:rPr>
        <w:t xml:space="preserve"> </w:t>
      </w:r>
      <w:hyperlink r:id="rId138" w:history="1">
        <w:r w:rsidR="0088604B" w:rsidRPr="001E1B06">
          <w:rPr>
            <w:rStyle w:val="Collegamentoipertestuale"/>
            <w:rFonts w:ascii="Arial" w:hAnsi="Arial" w:cs="Arial"/>
            <w:sz w:val="24"/>
            <w:szCs w:val="24"/>
            <w:lang w:val="it-IT"/>
          </w:rPr>
          <w:t>dertucay@ogs.it</w:t>
        </w:r>
      </w:hyperlink>
      <w:r w:rsidRPr="00060660">
        <w:rPr>
          <w:rFonts w:ascii="Arial" w:hAnsi="Arial" w:cs="Arial"/>
          <w:sz w:val="24"/>
          <w:szCs w:val="24"/>
          <w:lang w:val="it-IT"/>
        </w:rPr>
        <w:t xml:space="preserve"> </w:t>
      </w:r>
    </w:p>
    <w:p w14:paraId="443FF5B4" w14:textId="41B8523F" w:rsidR="0088604B" w:rsidRPr="002F3D9E" w:rsidRDefault="00C03766" w:rsidP="00C03766">
      <w:pPr>
        <w:spacing w:line="360" w:lineRule="auto"/>
        <w:rPr>
          <w:rFonts w:ascii="Arial" w:hAnsi="Arial" w:cs="Arial"/>
          <w:sz w:val="24"/>
          <w:szCs w:val="24"/>
          <w:lang w:val="it-IT"/>
        </w:rPr>
      </w:pPr>
      <w:proofErr w:type="spellStart"/>
      <w:r w:rsidRPr="00C03766">
        <w:rPr>
          <w:rFonts w:ascii="Arial" w:hAnsi="Arial" w:cs="Arial"/>
          <w:sz w:val="24"/>
          <w:szCs w:val="24"/>
          <w:lang w:val="it-IT"/>
        </w:rPr>
        <w:t>Bojana</w:t>
      </w:r>
      <w:proofErr w:type="spellEnd"/>
      <w:r w:rsidRPr="00C03766">
        <w:rPr>
          <w:rFonts w:ascii="Arial" w:hAnsi="Arial" w:cs="Arial"/>
          <w:sz w:val="24"/>
          <w:szCs w:val="24"/>
          <w:lang w:val="it-IT"/>
        </w:rPr>
        <w:t xml:space="preserve"> Petrovic</w:t>
      </w:r>
      <w:r>
        <w:rPr>
          <w:rFonts w:ascii="Arial" w:hAnsi="Arial" w:cs="Arial"/>
          <w:sz w:val="24"/>
          <w:szCs w:val="24"/>
          <w:lang w:val="it-IT"/>
        </w:rPr>
        <w:t xml:space="preserve"> </w:t>
      </w:r>
      <w:hyperlink r:id="rId139" w:history="1">
        <w:r w:rsidR="0088604B" w:rsidRPr="002F3D9E">
          <w:rPr>
            <w:rStyle w:val="Collegamentoipertestuale"/>
            <w:rFonts w:ascii="Arial" w:hAnsi="Arial" w:cs="Arial"/>
            <w:sz w:val="24"/>
            <w:szCs w:val="24"/>
            <w:lang w:val="it-IT"/>
          </w:rPr>
          <w:t>bp@gfz.de</w:t>
        </w:r>
      </w:hyperlink>
      <w:r w:rsidRPr="002F3D9E">
        <w:rPr>
          <w:rFonts w:ascii="Arial" w:hAnsi="Arial" w:cs="Arial"/>
          <w:sz w:val="24"/>
          <w:szCs w:val="24"/>
          <w:lang w:val="it-IT"/>
        </w:rPr>
        <w:t xml:space="preserve"> </w:t>
      </w:r>
    </w:p>
    <w:p w14:paraId="11595458" w14:textId="29ACE544" w:rsidR="0088604B" w:rsidRPr="002F3D9E" w:rsidRDefault="00C03766" w:rsidP="00C03766">
      <w:pPr>
        <w:spacing w:line="360" w:lineRule="auto"/>
        <w:rPr>
          <w:rFonts w:ascii="Arial" w:hAnsi="Arial" w:cs="Arial"/>
          <w:sz w:val="24"/>
          <w:szCs w:val="24"/>
          <w:lang w:val="it-IT"/>
        </w:rPr>
      </w:pPr>
      <w:r w:rsidRPr="002F3D9E">
        <w:rPr>
          <w:rFonts w:ascii="Arial" w:hAnsi="Arial" w:cs="Arial"/>
          <w:sz w:val="24"/>
          <w:szCs w:val="24"/>
          <w:lang w:val="it-IT"/>
        </w:rPr>
        <w:t xml:space="preserve">Marco Romanelli </w:t>
      </w:r>
      <w:hyperlink r:id="rId140" w:history="1">
        <w:r w:rsidR="0088604B" w:rsidRPr="002F3D9E">
          <w:rPr>
            <w:rStyle w:val="Collegamentoipertestuale"/>
            <w:rFonts w:ascii="Arial" w:hAnsi="Arial" w:cs="Arial"/>
            <w:sz w:val="24"/>
            <w:szCs w:val="24"/>
            <w:lang w:val="it-IT"/>
          </w:rPr>
          <w:t>mromanelli@ogs.it</w:t>
        </w:r>
      </w:hyperlink>
      <w:r w:rsidRPr="002F3D9E">
        <w:rPr>
          <w:rFonts w:ascii="Arial" w:hAnsi="Arial" w:cs="Arial"/>
          <w:sz w:val="24"/>
          <w:szCs w:val="24"/>
          <w:lang w:val="it-IT"/>
        </w:rPr>
        <w:t xml:space="preserve"> </w:t>
      </w:r>
    </w:p>
    <w:p w14:paraId="3BF6AB28" w14:textId="69C5CE14" w:rsidR="0088604B" w:rsidRPr="00C03766" w:rsidRDefault="00C03766" w:rsidP="00C03766">
      <w:pPr>
        <w:spacing w:line="360" w:lineRule="auto"/>
        <w:rPr>
          <w:rFonts w:ascii="Arial" w:hAnsi="Arial" w:cs="Arial"/>
          <w:sz w:val="24"/>
          <w:szCs w:val="24"/>
          <w:lang w:val="it-IT"/>
        </w:rPr>
      </w:pPr>
      <w:r w:rsidRPr="002F3D9E">
        <w:rPr>
          <w:rFonts w:ascii="Arial" w:hAnsi="Arial" w:cs="Arial"/>
          <w:sz w:val="24"/>
          <w:szCs w:val="24"/>
          <w:lang w:val="it-IT"/>
        </w:rPr>
        <w:t xml:space="preserve">Chiara Scaini </w:t>
      </w:r>
      <w:hyperlink r:id="rId141" w:history="1">
        <w:r w:rsidR="0088604B" w:rsidRPr="001E1B06">
          <w:rPr>
            <w:rStyle w:val="Collegamentoipertestuale"/>
            <w:rFonts w:ascii="Arial" w:hAnsi="Arial" w:cs="Arial"/>
            <w:sz w:val="24"/>
            <w:szCs w:val="24"/>
            <w:lang w:val="it-IT"/>
          </w:rPr>
          <w:t>cscaini@ogs.it</w:t>
        </w:r>
      </w:hyperlink>
      <w:r>
        <w:rPr>
          <w:rFonts w:ascii="Arial" w:hAnsi="Arial" w:cs="Arial"/>
          <w:sz w:val="24"/>
          <w:szCs w:val="24"/>
          <w:lang w:val="it-IT"/>
        </w:rPr>
        <w:t xml:space="preserve"> </w:t>
      </w:r>
    </w:p>
    <w:p w14:paraId="3DA48E49" w14:textId="7357F28C" w:rsidR="0088604B" w:rsidRPr="00C03766" w:rsidRDefault="00C03766" w:rsidP="00C03766">
      <w:pPr>
        <w:spacing w:line="360" w:lineRule="auto"/>
        <w:rPr>
          <w:rFonts w:ascii="Arial" w:hAnsi="Arial" w:cs="Arial"/>
          <w:sz w:val="24"/>
          <w:szCs w:val="24"/>
          <w:lang w:val="it-IT"/>
        </w:rPr>
      </w:pPr>
      <w:r w:rsidRPr="00C03766">
        <w:rPr>
          <w:rFonts w:ascii="Arial" w:hAnsi="Arial" w:cs="Arial"/>
          <w:sz w:val="24"/>
          <w:szCs w:val="24"/>
          <w:lang w:val="it-IT"/>
        </w:rPr>
        <w:t>Luca Martelli</w:t>
      </w:r>
      <w:r>
        <w:rPr>
          <w:rFonts w:ascii="Arial" w:hAnsi="Arial" w:cs="Arial"/>
          <w:sz w:val="24"/>
          <w:szCs w:val="24"/>
          <w:lang w:val="it-IT"/>
        </w:rPr>
        <w:t xml:space="preserve"> </w:t>
      </w:r>
      <w:hyperlink r:id="rId142" w:history="1">
        <w:r w:rsidR="0088604B" w:rsidRPr="001E1B06">
          <w:rPr>
            <w:rStyle w:val="Collegamentoipertestuale"/>
            <w:rFonts w:ascii="Arial" w:hAnsi="Arial" w:cs="Arial"/>
            <w:sz w:val="24"/>
            <w:szCs w:val="24"/>
            <w:lang w:val="it-IT"/>
          </w:rPr>
          <w:t>luca.martelli@regione.emilia-romagna.it</w:t>
        </w:r>
      </w:hyperlink>
      <w:r>
        <w:rPr>
          <w:rFonts w:ascii="Arial" w:hAnsi="Arial" w:cs="Arial"/>
          <w:sz w:val="24"/>
          <w:szCs w:val="24"/>
          <w:lang w:val="it-IT"/>
        </w:rPr>
        <w:t xml:space="preserve"> </w:t>
      </w:r>
    </w:p>
    <w:p w14:paraId="2ACB681B" w14:textId="06DDCFF9" w:rsidR="0088604B" w:rsidRDefault="00C03766" w:rsidP="00C03766">
      <w:pPr>
        <w:spacing w:line="360" w:lineRule="auto"/>
        <w:rPr>
          <w:rFonts w:ascii="Arial" w:hAnsi="Arial" w:cs="Arial"/>
          <w:sz w:val="24"/>
          <w:szCs w:val="24"/>
          <w:lang w:val="it-IT"/>
        </w:rPr>
      </w:pPr>
      <w:r w:rsidRPr="002F3D9E">
        <w:rPr>
          <w:rFonts w:ascii="Arial" w:hAnsi="Arial" w:cs="Arial"/>
          <w:sz w:val="24"/>
          <w:szCs w:val="24"/>
          <w:lang w:val="it-IT"/>
        </w:rPr>
        <w:t xml:space="preserve">Stefano Parolai </w:t>
      </w:r>
      <w:hyperlink r:id="rId143" w:history="1">
        <w:r w:rsidR="0088604B" w:rsidRPr="001E1B06">
          <w:rPr>
            <w:rStyle w:val="Collegamentoipertestuale"/>
            <w:rFonts w:ascii="Arial" w:hAnsi="Arial" w:cs="Arial"/>
            <w:sz w:val="24"/>
            <w:szCs w:val="24"/>
            <w:lang w:val="it-IT"/>
          </w:rPr>
          <w:t>stefano.parolai@units.it</w:t>
        </w:r>
      </w:hyperlink>
      <w:r>
        <w:rPr>
          <w:rFonts w:ascii="Arial" w:hAnsi="Arial" w:cs="Arial"/>
          <w:sz w:val="24"/>
          <w:szCs w:val="24"/>
          <w:lang w:val="it-IT"/>
        </w:rPr>
        <w:t xml:space="preserve"> </w:t>
      </w:r>
    </w:p>
    <w:p w14:paraId="62AA3D29" w14:textId="35D1FC42" w:rsidR="00C03766" w:rsidRPr="002F3D9E" w:rsidRDefault="00C03766" w:rsidP="00C03766">
      <w:pPr>
        <w:spacing w:line="360" w:lineRule="auto"/>
        <w:rPr>
          <w:rFonts w:ascii="Arial" w:hAnsi="Arial" w:cs="Arial"/>
          <w:sz w:val="24"/>
          <w:szCs w:val="24"/>
          <w:lang w:val="it-IT"/>
        </w:rPr>
      </w:pPr>
      <w:r w:rsidRPr="00C03766">
        <w:rPr>
          <w:rFonts w:ascii="Arial" w:hAnsi="Arial" w:cs="Arial"/>
          <w:sz w:val="24"/>
          <w:szCs w:val="24"/>
          <w:lang w:val="it-IT"/>
        </w:rPr>
        <w:t xml:space="preserve">Valerio Poggi </w:t>
      </w:r>
      <w:hyperlink r:id="rId144" w:history="1">
        <w:r w:rsidR="0088604B" w:rsidRPr="002F3D9E">
          <w:rPr>
            <w:rStyle w:val="Collegamentoipertestuale"/>
            <w:rFonts w:ascii="Arial" w:hAnsi="Arial" w:cs="Arial"/>
            <w:sz w:val="24"/>
            <w:szCs w:val="24"/>
            <w:lang w:val="it-IT"/>
          </w:rPr>
          <w:t>vpoggi@ogs.it</w:t>
        </w:r>
      </w:hyperlink>
      <w:r w:rsidRPr="002F3D9E">
        <w:rPr>
          <w:rFonts w:ascii="Arial" w:hAnsi="Arial" w:cs="Arial"/>
          <w:sz w:val="24"/>
          <w:szCs w:val="24"/>
          <w:lang w:val="it-IT"/>
        </w:rPr>
        <w:t xml:space="preserve"> </w:t>
      </w:r>
    </w:p>
    <w:p w14:paraId="05C8210D" w14:textId="77777777" w:rsidR="00C03766" w:rsidRPr="002F3D9E" w:rsidRDefault="00C03766" w:rsidP="00C03766">
      <w:pPr>
        <w:rPr>
          <w:rFonts w:ascii="Arial" w:hAnsi="Arial" w:cs="Arial"/>
          <w:sz w:val="24"/>
          <w:szCs w:val="24"/>
          <w:lang w:val="it-IT"/>
        </w:rPr>
      </w:pPr>
    </w:p>
    <w:p w14:paraId="23A4DFD5" w14:textId="7A413D1F" w:rsidR="007D17B2" w:rsidRPr="000819F4" w:rsidRDefault="00C03766">
      <w:pPr>
        <w:pStyle w:val="Titolo1"/>
        <w:spacing w:line="480" w:lineRule="auto"/>
        <w:rPr>
          <w:rFonts w:ascii="Arial" w:eastAsia="Arial" w:hAnsi="Arial" w:cs="Arial"/>
          <w:lang w:val="en-US"/>
        </w:rPr>
      </w:pPr>
      <w:r w:rsidRPr="000819F4">
        <w:rPr>
          <w:rFonts w:ascii="Arial" w:eastAsia="Arial" w:hAnsi="Arial" w:cs="Arial"/>
          <w:lang w:val="en-US"/>
        </w:rPr>
        <w:t>List of figure captions</w:t>
      </w:r>
    </w:p>
    <w:p w14:paraId="072BAAA0" w14:textId="77777777" w:rsidR="007D17B2" w:rsidRPr="00780D2B" w:rsidRDefault="00000000">
      <w:pPr>
        <w:pBdr>
          <w:top w:val="nil"/>
          <w:left w:val="nil"/>
          <w:bottom w:val="nil"/>
          <w:right w:val="nil"/>
          <w:between w:val="nil"/>
        </w:pBdr>
        <w:spacing w:after="240" w:line="480" w:lineRule="auto"/>
        <w:jc w:val="both"/>
        <w:rPr>
          <w:rFonts w:ascii="Arial" w:eastAsia="Arial" w:hAnsi="Arial" w:cs="Arial"/>
          <w:i/>
          <w:iCs/>
          <w:sz w:val="24"/>
          <w:szCs w:val="24"/>
        </w:rPr>
      </w:pPr>
      <w:r w:rsidRPr="000819F4">
        <w:rPr>
          <w:rFonts w:ascii="Arial" w:eastAsia="Arial" w:hAnsi="Arial" w:cs="Arial"/>
          <w:b/>
          <w:bCs/>
          <w:i/>
          <w:iCs/>
          <w:color w:val="000000"/>
          <w:sz w:val="24"/>
          <w:szCs w:val="24"/>
          <w:lang w:val="en-US"/>
        </w:rPr>
        <w:t xml:space="preserve">Figure 1. </w:t>
      </w:r>
      <w:r w:rsidRPr="000819F4">
        <w:rPr>
          <w:rFonts w:ascii="Arial" w:eastAsia="Arial" w:hAnsi="Arial" w:cs="Arial"/>
          <w:i/>
          <w:iCs/>
          <w:color w:val="000000"/>
          <w:sz w:val="24"/>
          <w:szCs w:val="24"/>
          <w:lang w:val="en-US"/>
        </w:rPr>
        <w:t>a</w:t>
      </w:r>
      <w:r w:rsidRPr="000819F4">
        <w:rPr>
          <w:rFonts w:ascii="Arial" w:eastAsia="Arial" w:hAnsi="Arial" w:cs="Arial"/>
          <w:i/>
          <w:iCs/>
          <w:sz w:val="24"/>
          <w:szCs w:val="24"/>
          <w:lang w:val="en-US"/>
        </w:rPr>
        <w:t>)</w:t>
      </w:r>
      <w:r w:rsidRPr="000819F4">
        <w:rPr>
          <w:rFonts w:ascii="Arial" w:eastAsia="Arial" w:hAnsi="Arial" w:cs="Arial"/>
          <w:b/>
          <w:bCs/>
          <w:i/>
          <w:iCs/>
          <w:sz w:val="24"/>
          <w:szCs w:val="24"/>
          <w:lang w:val="en-US"/>
        </w:rPr>
        <w:t xml:space="preserve"> </w:t>
      </w:r>
      <w:r w:rsidRPr="000819F4">
        <w:rPr>
          <w:rFonts w:ascii="Arial" w:eastAsia="Arial" w:hAnsi="Arial" w:cs="Arial"/>
          <w:i/>
          <w:iCs/>
          <w:sz w:val="24"/>
          <w:szCs w:val="24"/>
          <w:lang w:val="en-US"/>
        </w:rPr>
        <w:t xml:space="preserve">Location of the Terza Torre monitoring infrastructure in Bologna (see inset map). </w:t>
      </w:r>
      <w:r w:rsidRPr="00780D2B">
        <w:rPr>
          <w:rFonts w:ascii="Arial" w:eastAsia="Arial" w:hAnsi="Arial" w:cs="Arial"/>
          <w:i/>
          <w:iCs/>
          <w:sz w:val="24"/>
          <w:szCs w:val="24"/>
        </w:rPr>
        <w:t xml:space="preserve">The sensor positions are marked by triangles: in black for the vertical array on the eastern façade (stations RE001-RE006) and for the array on the western side (RE007 and RE008), in red for the nearby borehole station (OX.RERI). b) Instrumentation installed in the building. c) The borehole station, hosting one sensor on the surface and one sensor in well. The photo of the building is courtesy of </w:t>
      </w:r>
      <w:proofErr w:type="spellStart"/>
      <w:r w:rsidRPr="00780D2B">
        <w:rPr>
          <w:rFonts w:ascii="Arial" w:eastAsia="Arial" w:hAnsi="Arial" w:cs="Arial"/>
          <w:i/>
          <w:iCs/>
          <w:sz w:val="24"/>
          <w:szCs w:val="24"/>
        </w:rPr>
        <w:t>Regione</w:t>
      </w:r>
      <w:proofErr w:type="spellEnd"/>
      <w:r w:rsidRPr="00780D2B">
        <w:rPr>
          <w:rFonts w:ascii="Arial" w:eastAsia="Arial" w:hAnsi="Arial" w:cs="Arial"/>
          <w:i/>
          <w:iCs/>
          <w:sz w:val="24"/>
          <w:szCs w:val="24"/>
        </w:rPr>
        <w:t xml:space="preserve"> Emilia-Romagna (2025). Satellite data in the upper left maps are from Google Earth (Landsat/Copernicus) and OpenStreetMap. The color version of this figure is available only in the electronic edition.</w:t>
      </w:r>
    </w:p>
    <w:p w14:paraId="313D711A" w14:textId="77777777" w:rsidR="007D17B2" w:rsidRPr="00780D2B" w:rsidRDefault="00000000">
      <w:pPr>
        <w:pBdr>
          <w:top w:val="nil"/>
          <w:left w:val="nil"/>
          <w:bottom w:val="nil"/>
          <w:right w:val="nil"/>
          <w:between w:val="nil"/>
        </w:pBdr>
        <w:spacing w:after="240" w:line="480" w:lineRule="auto"/>
        <w:jc w:val="both"/>
        <w:rPr>
          <w:rFonts w:ascii="Arial" w:eastAsia="Arial" w:hAnsi="Arial" w:cs="Arial"/>
          <w:b/>
          <w:bCs/>
          <w:i/>
          <w:iCs/>
          <w:color w:val="000000"/>
          <w:sz w:val="24"/>
          <w:szCs w:val="24"/>
        </w:rPr>
      </w:pPr>
      <w:r w:rsidRPr="00780D2B">
        <w:rPr>
          <w:rFonts w:ascii="Arial" w:eastAsia="Arial" w:hAnsi="Arial" w:cs="Arial"/>
          <w:b/>
          <w:bCs/>
          <w:i/>
          <w:iCs/>
          <w:color w:val="000000"/>
          <w:sz w:val="24"/>
          <w:szCs w:val="24"/>
        </w:rPr>
        <w:t>Figure 2.</w:t>
      </w:r>
      <w:r w:rsidRPr="00780D2B">
        <w:rPr>
          <w:rFonts w:ascii="Arial" w:eastAsia="Arial" w:hAnsi="Arial" w:cs="Arial"/>
          <w:i/>
          <w:iCs/>
          <w:color w:val="000000"/>
          <w:sz w:val="24"/>
          <w:szCs w:val="24"/>
        </w:rPr>
        <w:t xml:space="preserve"> </w:t>
      </w:r>
      <w:r w:rsidRPr="00780D2B">
        <w:rPr>
          <w:rFonts w:ascii="Arial" w:eastAsia="Arial" w:hAnsi="Arial" w:cs="Arial"/>
          <w:i/>
          <w:iCs/>
          <w:sz w:val="24"/>
          <w:szCs w:val="24"/>
        </w:rPr>
        <w:t xml:space="preserve">Layout of the Terza Torre monitoring system, including both the on-building seismic array and the borehole station. a) External views from the East and South sides showing Towers A and B of the Terza Torre building, with the vertical distribution of sensors indicated by black triangles and grey horizontal line showing the ground level; b) Configuration of the borehole station, hosting sensors RERI.01 (at surface) and RERI.00 </w:t>
      </w:r>
      <w:r w:rsidRPr="00780D2B">
        <w:rPr>
          <w:rFonts w:ascii="Arial" w:eastAsia="Arial" w:hAnsi="Arial" w:cs="Arial"/>
          <w:i/>
          <w:iCs/>
          <w:sz w:val="24"/>
          <w:szCs w:val="24"/>
        </w:rPr>
        <w:lastRenderedPageBreak/>
        <w:t>(in well); c)-f) Floor plans of the Terza Torre building showing sensor positions (blue markers); the black arrow marks the geographic North. The color version of this figure is available only in the electronic edition.</w:t>
      </w:r>
    </w:p>
    <w:p w14:paraId="1D28B608" w14:textId="77777777" w:rsidR="007D17B2" w:rsidRPr="00780D2B" w:rsidRDefault="00000000">
      <w:pPr>
        <w:spacing w:after="240" w:line="480" w:lineRule="auto"/>
        <w:jc w:val="both"/>
        <w:rPr>
          <w:rFonts w:ascii="Arial" w:eastAsia="Arial" w:hAnsi="Arial" w:cs="Arial"/>
          <w:i/>
          <w:iCs/>
          <w:sz w:val="24"/>
          <w:szCs w:val="24"/>
        </w:rPr>
      </w:pPr>
      <w:r w:rsidRPr="00780D2B">
        <w:rPr>
          <w:rFonts w:ascii="Arial" w:eastAsia="Arial" w:hAnsi="Arial" w:cs="Arial"/>
          <w:b/>
          <w:bCs/>
          <w:i/>
          <w:iCs/>
          <w:sz w:val="24"/>
          <w:szCs w:val="24"/>
        </w:rPr>
        <w:t>Figure 3</w:t>
      </w:r>
      <w:r w:rsidRPr="00780D2B">
        <w:rPr>
          <w:rFonts w:ascii="Arial" w:eastAsia="Arial" w:hAnsi="Arial" w:cs="Arial"/>
          <w:b/>
          <w:bCs/>
          <w:sz w:val="24"/>
          <w:szCs w:val="24"/>
        </w:rPr>
        <w:t>.</w:t>
      </w:r>
      <w:r w:rsidRPr="00780D2B">
        <w:rPr>
          <w:rFonts w:ascii="Arial" w:eastAsia="Arial" w:hAnsi="Arial" w:cs="Arial"/>
          <w:sz w:val="24"/>
          <w:szCs w:val="24"/>
        </w:rPr>
        <w:t xml:space="preserve"> </w:t>
      </w:r>
      <w:r w:rsidRPr="00780D2B">
        <w:rPr>
          <w:rFonts w:ascii="Arial" w:eastAsia="Arial" w:hAnsi="Arial" w:cs="Arial"/>
          <w:i/>
          <w:iCs/>
          <w:sz w:val="24"/>
          <w:szCs w:val="24"/>
        </w:rPr>
        <w:t xml:space="preserve">Map of the epicenters of the 30 seismic events listed in Table 2 (red dots, with size proportional to event magnitude). The three highest-magnitude events (IDs 9, 16, and 17) are highlighted. The location of the Terza Torre monitoring array is marked by a blue triangle. The dashed line marks the circular area of 80 km radius used for event selection. The color version of this figure is available only in the electronic edition. </w:t>
      </w:r>
    </w:p>
    <w:p w14:paraId="3DDC249A" w14:textId="77777777" w:rsidR="007D17B2" w:rsidRPr="00780D2B" w:rsidRDefault="00000000">
      <w:pPr>
        <w:spacing w:after="240" w:line="480" w:lineRule="auto"/>
        <w:jc w:val="both"/>
        <w:rPr>
          <w:rFonts w:ascii="Arial" w:eastAsia="Arial" w:hAnsi="Arial" w:cs="Arial"/>
          <w:i/>
          <w:iCs/>
          <w:sz w:val="24"/>
          <w:szCs w:val="24"/>
        </w:rPr>
      </w:pPr>
      <w:r w:rsidRPr="00780D2B">
        <w:rPr>
          <w:rFonts w:ascii="Arial" w:eastAsia="Arial" w:hAnsi="Arial" w:cs="Arial"/>
          <w:b/>
          <w:bCs/>
          <w:i/>
          <w:iCs/>
          <w:sz w:val="24"/>
          <w:szCs w:val="24"/>
        </w:rPr>
        <w:t xml:space="preserve">Figure 4. </w:t>
      </w:r>
      <w:r w:rsidRPr="00780D2B">
        <w:rPr>
          <w:rFonts w:ascii="Arial" w:eastAsia="Arial" w:hAnsi="Arial" w:cs="Arial"/>
          <w:i/>
          <w:iCs/>
          <w:sz w:val="24"/>
          <w:szCs w:val="24"/>
        </w:rPr>
        <w:t xml:space="preserve">Data availability for each station for the 30 selected events recorded by the Terza Torre experiment (see also Supplemental Material, Figure S2). The vertical dashed and dotted lines indicate the change of sampling rate configuration, first from 125 to 200 Hz and then from 200 to 250 Hz. The EHE component of station RE006 (marked with an asterisk) was affected by a sensor malfunction until October 2023 and has 50% total availability. Stations RE002 and RE008 experienced system interruptions due to software malfunctioning and connectivity issues, respectively. </w:t>
      </w:r>
    </w:p>
    <w:p w14:paraId="4174FDAA" w14:textId="77777777" w:rsidR="007D17B2" w:rsidRPr="00780D2B" w:rsidRDefault="00000000">
      <w:pPr>
        <w:spacing w:after="240" w:line="480" w:lineRule="auto"/>
        <w:jc w:val="both"/>
        <w:rPr>
          <w:rFonts w:ascii="Arial" w:eastAsia="Arial" w:hAnsi="Arial" w:cs="Arial"/>
          <w:i/>
          <w:iCs/>
          <w:sz w:val="24"/>
          <w:szCs w:val="24"/>
        </w:rPr>
      </w:pPr>
      <w:r w:rsidRPr="00780D2B">
        <w:rPr>
          <w:rFonts w:ascii="Arial" w:eastAsia="Arial" w:hAnsi="Arial" w:cs="Arial"/>
          <w:b/>
          <w:bCs/>
          <w:i/>
          <w:iCs/>
          <w:sz w:val="24"/>
          <w:szCs w:val="24"/>
        </w:rPr>
        <w:t>Figure 5</w:t>
      </w:r>
      <w:r w:rsidRPr="00780D2B">
        <w:rPr>
          <w:rFonts w:ascii="Arial" w:eastAsia="Arial" w:hAnsi="Arial" w:cs="Arial"/>
          <w:b/>
          <w:bCs/>
          <w:sz w:val="24"/>
          <w:szCs w:val="24"/>
        </w:rPr>
        <w:t>.</w:t>
      </w:r>
      <w:r w:rsidRPr="00780D2B">
        <w:rPr>
          <w:rFonts w:ascii="Arial" w:eastAsia="Arial" w:hAnsi="Arial" w:cs="Arial"/>
          <w:sz w:val="24"/>
          <w:szCs w:val="24"/>
        </w:rPr>
        <w:t xml:space="preserve"> </w:t>
      </w:r>
      <w:r w:rsidRPr="00780D2B">
        <w:rPr>
          <w:rFonts w:ascii="Arial" w:eastAsia="Arial" w:hAnsi="Arial" w:cs="Arial"/>
          <w:i/>
          <w:iCs/>
          <w:sz w:val="24"/>
          <w:szCs w:val="24"/>
        </w:rPr>
        <w:t xml:space="preserve">Recorded three-component ground velocity (EHE, EHN, EHZ) for the ML 4.8 earthquake on 18 September 2023 (event ID 9). The waveforms have been corrected for instrumental sensitivity and bandpass filtered between 0.3 and 30 Hz. </w:t>
      </w:r>
    </w:p>
    <w:p w14:paraId="403434CE" w14:textId="77777777" w:rsidR="007D17B2" w:rsidRPr="00780D2B" w:rsidRDefault="00000000">
      <w:pPr>
        <w:spacing w:after="240" w:line="480" w:lineRule="auto"/>
        <w:jc w:val="both"/>
        <w:rPr>
          <w:rFonts w:ascii="Arial" w:eastAsia="Arial" w:hAnsi="Arial" w:cs="Arial"/>
          <w:sz w:val="24"/>
          <w:szCs w:val="24"/>
        </w:rPr>
      </w:pPr>
      <w:r w:rsidRPr="00780D2B">
        <w:rPr>
          <w:rFonts w:ascii="Arial" w:eastAsia="Arial" w:hAnsi="Arial" w:cs="Arial"/>
          <w:b/>
          <w:bCs/>
          <w:i/>
          <w:iCs/>
          <w:sz w:val="24"/>
          <w:szCs w:val="24"/>
        </w:rPr>
        <w:t>Figure 6</w:t>
      </w:r>
      <w:r w:rsidRPr="00780D2B">
        <w:rPr>
          <w:rFonts w:ascii="Arial" w:eastAsia="Arial" w:hAnsi="Arial" w:cs="Arial"/>
          <w:b/>
          <w:bCs/>
          <w:sz w:val="24"/>
          <w:szCs w:val="24"/>
        </w:rPr>
        <w:t>.</w:t>
      </w:r>
      <w:r w:rsidRPr="00780D2B">
        <w:rPr>
          <w:rFonts w:ascii="Arial" w:eastAsia="Arial" w:hAnsi="Arial" w:cs="Arial"/>
          <w:sz w:val="24"/>
          <w:szCs w:val="24"/>
        </w:rPr>
        <w:t xml:space="preserve"> </w:t>
      </w:r>
      <w:r w:rsidRPr="00780D2B">
        <w:rPr>
          <w:rFonts w:ascii="Arial" w:eastAsia="Arial" w:hAnsi="Arial" w:cs="Arial"/>
          <w:i/>
          <w:iCs/>
          <w:sz w:val="24"/>
          <w:szCs w:val="24"/>
        </w:rPr>
        <w:t>top) Spectral content of earthquake data recorded by RE006 station. Spectra for each event are shown as dots, and their mean as a black line. bottom) Number of data points used for each frequency to calculate the mean value given in the top panel</w:t>
      </w:r>
      <w:r w:rsidRPr="00780D2B">
        <w:rPr>
          <w:rFonts w:ascii="Arial" w:eastAsia="Arial" w:hAnsi="Arial" w:cs="Arial"/>
          <w:sz w:val="24"/>
          <w:szCs w:val="24"/>
        </w:rPr>
        <w:t xml:space="preserve">. </w:t>
      </w:r>
      <w:r w:rsidRPr="00780D2B">
        <w:rPr>
          <w:rFonts w:ascii="Arial" w:eastAsia="Arial" w:hAnsi="Arial" w:cs="Arial"/>
          <w:i/>
          <w:iCs/>
          <w:sz w:val="24"/>
          <w:szCs w:val="24"/>
        </w:rPr>
        <w:t xml:space="preserve">The color version of this figure is available only in the electronic edition. </w:t>
      </w:r>
    </w:p>
    <w:p w14:paraId="2DDA98B5" w14:textId="77777777" w:rsidR="007D17B2" w:rsidRPr="00780D2B" w:rsidRDefault="00000000">
      <w:pPr>
        <w:spacing w:before="240" w:after="240" w:line="480" w:lineRule="auto"/>
        <w:jc w:val="both"/>
        <w:rPr>
          <w:rFonts w:ascii="Arial" w:eastAsia="Arial" w:hAnsi="Arial" w:cs="Arial"/>
          <w:i/>
          <w:iCs/>
          <w:sz w:val="24"/>
          <w:szCs w:val="24"/>
        </w:rPr>
      </w:pPr>
      <w:r w:rsidRPr="00780D2B">
        <w:rPr>
          <w:rFonts w:ascii="Arial" w:eastAsia="Arial" w:hAnsi="Arial" w:cs="Arial"/>
          <w:b/>
          <w:bCs/>
          <w:i/>
          <w:iCs/>
          <w:sz w:val="24"/>
          <w:szCs w:val="24"/>
        </w:rPr>
        <w:lastRenderedPageBreak/>
        <w:t>Figure 7.</w:t>
      </w:r>
      <w:r w:rsidRPr="00780D2B">
        <w:rPr>
          <w:rFonts w:ascii="Arial" w:eastAsia="Arial" w:hAnsi="Arial" w:cs="Arial"/>
          <w:i/>
          <w:iCs/>
          <w:sz w:val="24"/>
          <w:szCs w:val="24"/>
        </w:rPr>
        <w:t xml:space="preserve"> top) Earthquake spectral ratio of RE006 station with respect to RE008 station. Spectral ratios for each event are shown as dots, and their mean as a black line. bottom) Number of data points used for each frequency to calculate the corresponding mean value in the top panel. The color version of this figure is available only in the electronic edition. </w:t>
      </w:r>
    </w:p>
    <w:p w14:paraId="36211160" w14:textId="77777777" w:rsidR="007D17B2" w:rsidRPr="00780D2B" w:rsidRDefault="00000000">
      <w:pPr>
        <w:spacing w:before="240" w:after="240" w:line="480" w:lineRule="auto"/>
        <w:jc w:val="both"/>
        <w:rPr>
          <w:rFonts w:ascii="Arial" w:eastAsia="Arial" w:hAnsi="Arial" w:cs="Arial"/>
          <w:i/>
          <w:iCs/>
          <w:sz w:val="24"/>
          <w:szCs w:val="24"/>
        </w:rPr>
      </w:pPr>
      <w:r w:rsidRPr="00780D2B">
        <w:rPr>
          <w:rFonts w:ascii="Arial" w:eastAsia="Arial" w:hAnsi="Arial" w:cs="Arial"/>
          <w:b/>
          <w:bCs/>
          <w:i/>
          <w:iCs/>
          <w:color w:val="000000"/>
          <w:sz w:val="24"/>
          <w:szCs w:val="24"/>
        </w:rPr>
        <w:t xml:space="preserve">Figure </w:t>
      </w:r>
      <w:r w:rsidRPr="00780D2B">
        <w:rPr>
          <w:rFonts w:ascii="Arial" w:eastAsia="Arial" w:hAnsi="Arial" w:cs="Arial"/>
          <w:b/>
          <w:bCs/>
          <w:i/>
          <w:iCs/>
          <w:sz w:val="24"/>
          <w:szCs w:val="24"/>
        </w:rPr>
        <w:t>8</w:t>
      </w:r>
      <w:r w:rsidRPr="00780D2B">
        <w:rPr>
          <w:rFonts w:ascii="Arial" w:eastAsia="Arial" w:hAnsi="Arial" w:cs="Arial"/>
          <w:b/>
          <w:bCs/>
          <w:i/>
          <w:iCs/>
          <w:color w:val="000000"/>
          <w:sz w:val="24"/>
          <w:szCs w:val="24"/>
        </w:rPr>
        <w:t>.</w:t>
      </w:r>
      <w:r w:rsidRPr="00780D2B">
        <w:rPr>
          <w:rFonts w:ascii="Arial" w:eastAsia="Arial" w:hAnsi="Arial" w:cs="Arial"/>
          <w:i/>
          <w:iCs/>
          <w:color w:val="000000"/>
          <w:sz w:val="24"/>
          <w:szCs w:val="24"/>
        </w:rPr>
        <w:t xml:space="preserve"> </w:t>
      </w:r>
      <w:r w:rsidRPr="00780D2B">
        <w:rPr>
          <w:rFonts w:ascii="Arial" w:eastAsia="Arial" w:hAnsi="Arial" w:cs="Arial"/>
          <w:i/>
          <w:iCs/>
          <w:sz w:val="24"/>
          <w:szCs w:val="24"/>
        </w:rPr>
        <w:t>Fourier spectral ratios computed using the RE008 sensor (located at the base of the building) as a reference. a) Average spectral ratios from ambient vibration recordings, based on 10-minute time windows. b) Spectral ratios from local earthquake recordings; bold curves indicate the average spectrum for each component (red for EHE, blue for EHN, green for EHZ) and dashed lines represent the ±1</w:t>
      </w:r>
      <w:r w:rsidRPr="00780D2B">
        <w:rPr>
          <w:rFonts w:ascii="Cambria Math" w:eastAsia="Cambria Math" w:hAnsi="Cambria Math" w:cs="Cambria Math"/>
          <w:i/>
          <w:iCs/>
          <w:sz w:val="24"/>
          <w:szCs w:val="24"/>
        </w:rPr>
        <w:t>𝜎</w:t>
      </w:r>
      <w:r w:rsidRPr="00780D2B">
        <w:rPr>
          <w:rFonts w:ascii="Arial" w:eastAsia="Arial" w:hAnsi="Arial" w:cs="Arial"/>
          <w:sz w:val="24"/>
          <w:szCs w:val="24"/>
        </w:rPr>
        <w:t xml:space="preserve"> </w:t>
      </w:r>
      <w:r w:rsidRPr="00780D2B">
        <w:rPr>
          <w:rFonts w:ascii="Arial" w:eastAsia="Arial" w:hAnsi="Arial" w:cs="Arial"/>
          <w:i/>
          <w:iCs/>
          <w:sz w:val="24"/>
          <w:szCs w:val="24"/>
        </w:rPr>
        <w:t xml:space="preserve">interval. The color version of this figure is available only in the electronic edition. </w:t>
      </w:r>
    </w:p>
    <w:p w14:paraId="2DA45D81" w14:textId="77777777" w:rsidR="007D17B2" w:rsidRPr="00780D2B" w:rsidRDefault="00000000">
      <w:pPr>
        <w:spacing w:after="360" w:line="480" w:lineRule="auto"/>
        <w:jc w:val="both"/>
        <w:rPr>
          <w:rFonts w:ascii="Arial" w:eastAsia="Arial" w:hAnsi="Arial" w:cs="Arial"/>
          <w:i/>
          <w:iCs/>
          <w:sz w:val="24"/>
          <w:szCs w:val="24"/>
        </w:rPr>
      </w:pPr>
      <w:r w:rsidRPr="00780D2B">
        <w:rPr>
          <w:rFonts w:ascii="Arial" w:eastAsia="Arial" w:hAnsi="Arial" w:cs="Arial"/>
          <w:b/>
          <w:bCs/>
          <w:i/>
          <w:iCs/>
          <w:color w:val="000000"/>
          <w:sz w:val="24"/>
          <w:szCs w:val="24"/>
        </w:rPr>
        <w:t xml:space="preserve">Figure </w:t>
      </w:r>
      <w:r w:rsidRPr="00780D2B">
        <w:rPr>
          <w:rFonts w:ascii="Arial" w:eastAsia="Arial" w:hAnsi="Arial" w:cs="Arial"/>
          <w:b/>
          <w:bCs/>
          <w:i/>
          <w:iCs/>
          <w:sz w:val="24"/>
          <w:szCs w:val="24"/>
        </w:rPr>
        <w:t>9</w:t>
      </w:r>
      <w:r w:rsidRPr="00780D2B">
        <w:rPr>
          <w:rFonts w:ascii="Arial" w:eastAsia="Arial" w:hAnsi="Arial" w:cs="Arial"/>
          <w:b/>
          <w:bCs/>
          <w:i/>
          <w:iCs/>
          <w:color w:val="000000"/>
          <w:sz w:val="24"/>
          <w:szCs w:val="24"/>
        </w:rPr>
        <w:t>.</w:t>
      </w:r>
      <w:r w:rsidRPr="00780D2B">
        <w:rPr>
          <w:rFonts w:ascii="Arial" w:eastAsia="Arial" w:hAnsi="Arial" w:cs="Arial"/>
          <w:i/>
          <w:iCs/>
          <w:color w:val="000000"/>
          <w:sz w:val="24"/>
          <w:szCs w:val="24"/>
        </w:rPr>
        <w:t xml:space="preserve"> </w:t>
      </w:r>
      <w:r w:rsidRPr="00780D2B">
        <w:rPr>
          <w:rFonts w:ascii="Arial" w:eastAsia="Arial" w:hAnsi="Arial" w:cs="Arial"/>
          <w:i/>
          <w:iCs/>
          <w:sz w:val="24"/>
          <w:szCs w:val="24"/>
        </w:rPr>
        <w:t>a) Singular values of the power spectral density matrix for the north-south direction, computed from ambient vibration recordings at sensors RE001–RE006 using the FDD method. The curves represent the energy eigenvalues (singular values) obtained from the spectral decomposition of the cross-spectral density matrix. b) Same as a), for the east-west direction. c) Mode shape corresponding to the first dominant spectral peak at 0.44 Hz for the north-south and east-west directions. The mode shape is derived from the singular vectors associated with the largest eigenvalues at the respective peak frequencies.</w:t>
      </w:r>
    </w:p>
    <w:p w14:paraId="15A3D83C" w14:textId="77777777" w:rsidR="007D17B2" w:rsidRDefault="00000000">
      <w:pPr>
        <w:spacing w:after="240" w:line="480" w:lineRule="auto"/>
        <w:jc w:val="both"/>
        <w:rPr>
          <w:rFonts w:ascii="Arial" w:eastAsia="Arial" w:hAnsi="Arial" w:cs="Arial"/>
          <w:i/>
          <w:iCs/>
          <w:sz w:val="24"/>
          <w:szCs w:val="24"/>
        </w:rPr>
      </w:pPr>
      <w:r w:rsidRPr="00780D2B">
        <w:rPr>
          <w:rFonts w:ascii="Arial" w:eastAsia="Arial" w:hAnsi="Arial" w:cs="Arial"/>
          <w:b/>
          <w:bCs/>
          <w:i/>
          <w:iCs/>
          <w:sz w:val="24"/>
          <w:szCs w:val="24"/>
        </w:rPr>
        <w:t>Figure 10.</w:t>
      </w:r>
      <w:r w:rsidRPr="00780D2B">
        <w:rPr>
          <w:rFonts w:ascii="Arial" w:eastAsia="Arial" w:hAnsi="Arial" w:cs="Arial"/>
          <w:i/>
          <w:iCs/>
          <w:sz w:val="24"/>
          <w:szCs w:val="24"/>
        </w:rPr>
        <w:t xml:space="preserve"> Fourier spectral ratios computed using the RERI.00 sensor (located at the base of the borehole) as a reference. a) Average spectral ratios from ambient vibration recordings, based on 10-minute time windows. b) Spectral ratios from local earthquake </w:t>
      </w:r>
      <w:r w:rsidRPr="00780D2B">
        <w:rPr>
          <w:rFonts w:ascii="Arial" w:eastAsia="Arial" w:hAnsi="Arial" w:cs="Arial"/>
          <w:i/>
          <w:iCs/>
          <w:sz w:val="24"/>
          <w:szCs w:val="24"/>
        </w:rPr>
        <w:lastRenderedPageBreak/>
        <w:t>recordings; bold curves indicate the average spectrum for each component (EHE, EHN, EHZ) and dashed lines represent the ±1</w:t>
      </w:r>
      <w:r w:rsidRPr="00780D2B">
        <w:rPr>
          <w:rFonts w:ascii="Cambria Math" w:eastAsia="Cambria Math" w:hAnsi="Cambria Math" w:cs="Cambria Math"/>
          <w:i/>
          <w:iCs/>
          <w:sz w:val="24"/>
          <w:szCs w:val="24"/>
        </w:rPr>
        <w:t>𝜎</w:t>
      </w:r>
      <w:r w:rsidRPr="00780D2B">
        <w:rPr>
          <w:rFonts w:ascii="Arial" w:eastAsia="Arial" w:hAnsi="Arial" w:cs="Arial"/>
          <w:i/>
          <w:iCs/>
          <w:sz w:val="24"/>
          <w:szCs w:val="24"/>
        </w:rPr>
        <w:t>.</w:t>
      </w:r>
      <w:r>
        <w:rPr>
          <w:rFonts w:ascii="Arial" w:eastAsia="Arial" w:hAnsi="Arial" w:cs="Arial"/>
          <w:i/>
          <w:iCs/>
          <w:sz w:val="24"/>
          <w:szCs w:val="24"/>
        </w:rPr>
        <w:t xml:space="preserve"> </w:t>
      </w:r>
    </w:p>
    <w:sectPr w:rsidR="007D17B2">
      <w:footerReference w:type="default" r:id="rId145"/>
      <w:pgSz w:w="12240" w:h="15840"/>
      <w:pgMar w:top="1440" w:right="1440" w:bottom="1440" w:left="1440" w:header="709" w:footer="709" w:gutter="0"/>
      <w:lnNumType w:countBy="1" w:restart="continuou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65D46" w14:textId="77777777" w:rsidR="00C22DD0" w:rsidRDefault="00C22DD0">
      <w:pPr>
        <w:spacing w:after="0" w:line="240" w:lineRule="auto"/>
      </w:pPr>
      <w:r>
        <w:separator/>
      </w:r>
    </w:p>
  </w:endnote>
  <w:endnote w:type="continuationSeparator" w:id="0">
    <w:p w14:paraId="417440DE" w14:textId="77777777" w:rsidR="00C22DD0" w:rsidRDefault="00C22D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Play">
    <w:charset w:val="00"/>
    <w:family w:val="auto"/>
    <w:pitch w:val="default"/>
    <w:embedRegular r:id="rId1" w:fontKey="{35002CBD-C6A6-421A-B26F-FDD6CA139704}"/>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embedRegular r:id="rId2" w:fontKey="{59F8066C-0E81-45CC-BD7A-8D15EBEEE274}"/>
    <w:embedItalic r:id="rId3" w:fontKey="{D06BAD61-F2D3-41C4-8E5F-3B6A0E7B2729}"/>
  </w:font>
  <w:font w:name="Arial Unicode MS">
    <w:altName w:val="Arial"/>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4" w:fontKey="{6918AD05-F381-4C55-8800-5B6AA00A89FF}"/>
  </w:font>
  <w:font w:name="Cambria">
    <w:panose1 w:val="02040503050406030204"/>
    <w:charset w:val="00"/>
    <w:family w:val="roman"/>
    <w:pitch w:val="variable"/>
    <w:sig w:usb0="E00006FF" w:usb1="420024FF" w:usb2="02000000" w:usb3="00000000" w:csb0="0000019F" w:csb1="00000000"/>
    <w:embedRegular r:id="rId5" w:fontKey="{BDB3BC08-5F0D-46BC-BC8F-FB9BEEFF774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1B41D" w14:textId="77777777" w:rsidR="007D17B2" w:rsidRDefault="00000000">
    <w:pPr>
      <w:pBdr>
        <w:top w:val="nil"/>
        <w:left w:val="nil"/>
        <w:bottom w:val="nil"/>
        <w:right w:val="nil"/>
        <w:between w:val="nil"/>
      </w:pBdr>
      <w:tabs>
        <w:tab w:val="center" w:pos="4986"/>
        <w:tab w:val="right" w:pos="9972"/>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2C4EE6">
      <w:rPr>
        <w:noProof/>
        <w:color w:val="000000"/>
      </w:rPr>
      <w:t>1</w:t>
    </w:r>
    <w:r>
      <w:rPr>
        <w:color w:val="000000"/>
      </w:rPr>
      <w:fldChar w:fldCharType="end"/>
    </w:r>
  </w:p>
  <w:p w14:paraId="38878D62" w14:textId="77777777" w:rsidR="007D17B2" w:rsidRDefault="007D17B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C3027" w14:textId="77777777" w:rsidR="00C22DD0" w:rsidRDefault="00C22DD0">
      <w:pPr>
        <w:spacing w:after="0" w:line="240" w:lineRule="auto"/>
      </w:pPr>
      <w:r>
        <w:separator/>
      </w:r>
    </w:p>
  </w:footnote>
  <w:footnote w:type="continuationSeparator" w:id="0">
    <w:p w14:paraId="18B65C5B" w14:textId="77777777" w:rsidR="00C22DD0" w:rsidRDefault="00C22D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222FBB"/>
    <w:multiLevelType w:val="multilevel"/>
    <w:tmpl w:val="B8844F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7678462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7B2"/>
    <w:rsid w:val="00020316"/>
    <w:rsid w:val="000323AB"/>
    <w:rsid w:val="00060660"/>
    <w:rsid w:val="000819F4"/>
    <w:rsid w:val="000917FD"/>
    <w:rsid w:val="000B0FED"/>
    <w:rsid w:val="000C6440"/>
    <w:rsid w:val="001072AD"/>
    <w:rsid w:val="001074A3"/>
    <w:rsid w:val="00174210"/>
    <w:rsid w:val="0019588C"/>
    <w:rsid w:val="001C44ED"/>
    <w:rsid w:val="001D7E38"/>
    <w:rsid w:val="002101C6"/>
    <w:rsid w:val="00251C9D"/>
    <w:rsid w:val="00266E6C"/>
    <w:rsid w:val="002A55C2"/>
    <w:rsid w:val="002B001D"/>
    <w:rsid w:val="002C4EE6"/>
    <w:rsid w:val="002E4387"/>
    <w:rsid w:val="002F3D9E"/>
    <w:rsid w:val="00316EAA"/>
    <w:rsid w:val="003B6D1C"/>
    <w:rsid w:val="004157A9"/>
    <w:rsid w:val="004235C3"/>
    <w:rsid w:val="00435F01"/>
    <w:rsid w:val="004B5367"/>
    <w:rsid w:val="004D470C"/>
    <w:rsid w:val="0055550F"/>
    <w:rsid w:val="005A2EDC"/>
    <w:rsid w:val="005A3C02"/>
    <w:rsid w:val="005C0DDD"/>
    <w:rsid w:val="005F01D1"/>
    <w:rsid w:val="006D3D96"/>
    <w:rsid w:val="0076050D"/>
    <w:rsid w:val="00780591"/>
    <w:rsid w:val="00780D2B"/>
    <w:rsid w:val="00782248"/>
    <w:rsid w:val="007A23AD"/>
    <w:rsid w:val="007B7E05"/>
    <w:rsid w:val="007D17B2"/>
    <w:rsid w:val="008475AC"/>
    <w:rsid w:val="00874A1B"/>
    <w:rsid w:val="0088604B"/>
    <w:rsid w:val="008C6C58"/>
    <w:rsid w:val="008F5439"/>
    <w:rsid w:val="0091001F"/>
    <w:rsid w:val="00963680"/>
    <w:rsid w:val="00985D9A"/>
    <w:rsid w:val="009A45A2"/>
    <w:rsid w:val="009B4A77"/>
    <w:rsid w:val="00AA1529"/>
    <w:rsid w:val="00AF5741"/>
    <w:rsid w:val="00B30734"/>
    <w:rsid w:val="00B36EA2"/>
    <w:rsid w:val="00B42CF5"/>
    <w:rsid w:val="00B64C5C"/>
    <w:rsid w:val="00BB5034"/>
    <w:rsid w:val="00C03766"/>
    <w:rsid w:val="00C22DD0"/>
    <w:rsid w:val="00C32D82"/>
    <w:rsid w:val="00C52138"/>
    <w:rsid w:val="00C87DE9"/>
    <w:rsid w:val="00D1500A"/>
    <w:rsid w:val="00D303CC"/>
    <w:rsid w:val="00D563CD"/>
    <w:rsid w:val="00D610B8"/>
    <w:rsid w:val="00DC3644"/>
    <w:rsid w:val="00DD0CE9"/>
    <w:rsid w:val="00DF1C23"/>
    <w:rsid w:val="00E0185A"/>
    <w:rsid w:val="00E80500"/>
    <w:rsid w:val="00EA073F"/>
    <w:rsid w:val="00F11D2C"/>
    <w:rsid w:val="00F863BF"/>
    <w:rsid w:val="00FE0A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1BECB"/>
  <w15:docId w15:val="{A2796BAA-5A43-42D1-89C0-5F9E81F2F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jc w:val="both"/>
      <w:outlineLvl w:val="0"/>
    </w:pPr>
    <w:rPr>
      <w:b/>
      <w:bCs/>
      <w:sz w:val="24"/>
      <w:szCs w:val="24"/>
    </w:rPr>
  </w:style>
  <w:style w:type="paragraph" w:styleId="Titolo2">
    <w:name w:val="heading 2"/>
    <w:basedOn w:val="Normale"/>
    <w:next w:val="Normale"/>
    <w:uiPriority w:val="9"/>
    <w:unhideWhenUsed/>
    <w:qFormat/>
    <w:pPr>
      <w:keepNext/>
      <w:keepLines/>
      <w:jc w:val="both"/>
      <w:outlineLvl w:val="1"/>
    </w:pPr>
    <w:rPr>
      <w:b/>
      <w:bCs/>
      <w:sz w:val="24"/>
      <w:szCs w:val="24"/>
    </w:rPr>
  </w:style>
  <w:style w:type="paragraph" w:styleId="Titolo3">
    <w:name w:val="heading 3"/>
    <w:basedOn w:val="Normale"/>
    <w:next w:val="Normale"/>
    <w:uiPriority w:val="9"/>
    <w:semiHidden/>
    <w:unhideWhenUsed/>
    <w:qFormat/>
    <w:pPr>
      <w:keepNext/>
      <w:keepLines/>
      <w:spacing w:before="160" w:after="80"/>
      <w:outlineLvl w:val="2"/>
    </w:pPr>
    <w:rPr>
      <w:color w:val="0F4761"/>
      <w:sz w:val="28"/>
      <w:szCs w:val="28"/>
    </w:rPr>
  </w:style>
  <w:style w:type="paragraph" w:styleId="Titolo4">
    <w:name w:val="heading 4"/>
    <w:basedOn w:val="Normale"/>
    <w:next w:val="Normale"/>
    <w:uiPriority w:val="9"/>
    <w:semiHidden/>
    <w:unhideWhenUsed/>
    <w:qFormat/>
    <w:pPr>
      <w:keepNext/>
      <w:keepLines/>
      <w:spacing w:before="80" w:after="40"/>
      <w:outlineLvl w:val="3"/>
    </w:pPr>
    <w:rPr>
      <w:i/>
      <w:iCs/>
      <w:color w:val="0F4761"/>
    </w:rPr>
  </w:style>
  <w:style w:type="paragraph" w:styleId="Titolo5">
    <w:name w:val="heading 5"/>
    <w:basedOn w:val="Normale"/>
    <w:next w:val="Normale"/>
    <w:uiPriority w:val="9"/>
    <w:semiHidden/>
    <w:unhideWhenUsed/>
    <w:qFormat/>
    <w:pPr>
      <w:keepNext/>
      <w:keepLines/>
      <w:spacing w:before="80" w:after="40"/>
      <w:outlineLvl w:val="4"/>
    </w:pPr>
    <w:rPr>
      <w:color w:val="0F4761"/>
    </w:rPr>
  </w:style>
  <w:style w:type="paragraph" w:styleId="Titolo6">
    <w:name w:val="heading 6"/>
    <w:basedOn w:val="Normale"/>
    <w:next w:val="Normale"/>
    <w:uiPriority w:val="9"/>
    <w:semiHidden/>
    <w:unhideWhenUsed/>
    <w:qFormat/>
    <w:pPr>
      <w:keepNext/>
      <w:keepLines/>
      <w:spacing w:before="40" w:after="0"/>
      <w:outlineLvl w:val="5"/>
    </w:pPr>
    <w:rPr>
      <w:i/>
      <w:iCs/>
      <w:color w:val="595959"/>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spacing w:after="80" w:line="240" w:lineRule="auto"/>
    </w:pPr>
    <w:rPr>
      <w:rFonts w:ascii="Play" w:eastAsia="Play" w:hAnsi="Play" w:cs="Play"/>
      <w:sz w:val="56"/>
      <w:szCs w:val="56"/>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Pr>
  </w:style>
  <w:style w:type="character" w:styleId="Numeroriga">
    <w:name w:val="line number"/>
    <w:basedOn w:val="Carpredefinitoparagrafo"/>
    <w:uiPriority w:val="99"/>
    <w:semiHidden/>
    <w:unhideWhenUsed/>
    <w:rsid w:val="00A21157"/>
  </w:style>
  <w:style w:type="table" w:styleId="Grigliatabella">
    <w:name w:val="Table Grid"/>
    <w:basedOn w:val="Tabellanormale"/>
    <w:uiPriority w:val="39"/>
    <w:rsid w:val="00563F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link w:val="IntestazioneCarattere"/>
    <w:uiPriority w:val="99"/>
    <w:unhideWhenUsed/>
    <w:rsid w:val="0032350C"/>
    <w:pPr>
      <w:tabs>
        <w:tab w:val="center" w:pos="4986"/>
        <w:tab w:val="right" w:pos="9972"/>
      </w:tabs>
      <w:spacing w:after="0" w:line="240" w:lineRule="auto"/>
    </w:pPr>
  </w:style>
  <w:style w:type="character" w:customStyle="1" w:styleId="IntestazioneCarattere">
    <w:name w:val="Intestazione Carattere"/>
    <w:basedOn w:val="Carpredefinitoparagrafo"/>
    <w:link w:val="Intestazione"/>
    <w:uiPriority w:val="99"/>
    <w:rsid w:val="0032350C"/>
  </w:style>
  <w:style w:type="paragraph" w:styleId="Pidipagina">
    <w:name w:val="footer"/>
    <w:link w:val="PidipaginaCarattere"/>
    <w:uiPriority w:val="99"/>
    <w:unhideWhenUsed/>
    <w:rsid w:val="0032350C"/>
    <w:pPr>
      <w:tabs>
        <w:tab w:val="center" w:pos="4986"/>
        <w:tab w:val="right" w:pos="9972"/>
      </w:tabs>
      <w:spacing w:after="0" w:line="240" w:lineRule="auto"/>
    </w:pPr>
  </w:style>
  <w:style w:type="character" w:customStyle="1" w:styleId="PidipaginaCarattere">
    <w:name w:val="Piè di pagina Carattere"/>
    <w:basedOn w:val="Carpredefinitoparagrafo"/>
    <w:link w:val="Pidipagina"/>
    <w:uiPriority w:val="99"/>
    <w:rsid w:val="0032350C"/>
  </w:style>
  <w:style w:type="paragraph" w:styleId="Sottotitolo">
    <w:name w:val="Subtitle"/>
    <w:basedOn w:val="Normale"/>
    <w:next w:val="Normale"/>
    <w:uiPriority w:val="11"/>
    <w:qFormat/>
    <w:rPr>
      <w:color w:val="595959"/>
      <w:sz w:val="28"/>
      <w:szCs w:val="28"/>
    </w:rPr>
  </w:style>
  <w:style w:type="table" w:customStyle="1" w:styleId="a1">
    <w:basedOn w:val="TableNormal0"/>
    <w:pPr>
      <w:spacing w:after="0" w:line="240" w:lineRule="auto"/>
    </w:pPr>
    <w:tblPr>
      <w:tblStyleRowBandSize w:val="1"/>
      <w:tblStyleColBandSize w:val="1"/>
      <w:tblCellMar>
        <w:top w:w="0" w:type="dxa"/>
        <w:left w:w="85" w:type="dxa"/>
        <w:bottom w:w="0" w:type="dxa"/>
        <w:right w:w="85" w:type="dxa"/>
      </w:tblCellMar>
    </w:tblPr>
  </w:style>
  <w:style w:type="table" w:customStyle="1" w:styleId="a2">
    <w:basedOn w:val="TableNormal0"/>
    <w:tblPr>
      <w:tblStyleRowBandSize w:val="1"/>
      <w:tblStyleColBandSize w:val="1"/>
    </w:tblPr>
  </w:style>
  <w:style w:type="character" w:styleId="Collegamentoipertestuale">
    <w:name w:val="Hyperlink"/>
    <w:basedOn w:val="Carpredefinitoparagrafo"/>
    <w:uiPriority w:val="99"/>
    <w:unhideWhenUsed/>
    <w:rsid w:val="002C4EE6"/>
    <w:rPr>
      <w:color w:val="0000FF" w:themeColor="hyperlink"/>
      <w:u w:val="single"/>
    </w:rPr>
  </w:style>
  <w:style w:type="character" w:styleId="Menzionenonrisolta">
    <w:name w:val="Unresolved Mention"/>
    <w:basedOn w:val="Carpredefinitoparagrafo"/>
    <w:uiPriority w:val="99"/>
    <w:semiHidden/>
    <w:unhideWhenUsed/>
    <w:rsid w:val="002C4EE6"/>
    <w:rPr>
      <w:color w:val="605E5C"/>
      <w:shd w:val="clear" w:color="auto" w:fill="E1DFDD"/>
    </w:rPr>
  </w:style>
  <w:style w:type="character" w:styleId="Testosegnaposto">
    <w:name w:val="Placeholder Text"/>
    <w:basedOn w:val="Carpredefinitoparagrafo"/>
    <w:uiPriority w:val="99"/>
    <w:semiHidden/>
    <w:rsid w:val="00F863BF"/>
    <w:rPr>
      <w:color w:val="666666"/>
    </w:rPr>
  </w:style>
  <w:style w:type="paragraph" w:styleId="Paragrafoelenco">
    <w:name w:val="List Paragraph"/>
    <w:basedOn w:val="Normale"/>
    <w:uiPriority w:val="34"/>
    <w:qFormat/>
    <w:rsid w:val="00C037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doi.org/10.1785/0220240018" TargetMode="External"/><Relationship Id="rId21" Type="http://schemas.openxmlformats.org/officeDocument/2006/relationships/image" Target="media/image9.png"/><Relationship Id="rId42" Type="http://schemas.openxmlformats.org/officeDocument/2006/relationships/hyperlink" Target="https://doi.org/10.1785/0220200372" TargetMode="External"/><Relationship Id="rId63" Type="http://schemas.openxmlformats.org/officeDocument/2006/relationships/hyperlink" Target="https://doi.org/10.1785/0119990072" TargetMode="External"/><Relationship Id="rId84" Type="http://schemas.openxmlformats.org/officeDocument/2006/relationships/hyperlink" Target="https://doi.org/10.1785/0120180193" TargetMode="External"/><Relationship Id="rId138" Type="http://schemas.openxmlformats.org/officeDocument/2006/relationships/hyperlink" Target="mailto:dertucay@ogs.it" TargetMode="External"/><Relationship Id="rId107" Type="http://schemas.openxmlformats.org/officeDocument/2006/relationships/hyperlink" Target="https://doi.org/10.1785/0120150216" TargetMode="External"/><Relationship Id="rId11" Type="http://schemas.openxmlformats.org/officeDocument/2006/relationships/hyperlink" Target="https://www.zotero.org/google-docs/?c46win" TargetMode="External"/><Relationship Id="rId32" Type="http://schemas.openxmlformats.org/officeDocument/2006/relationships/hyperlink" Target="https://www.zotero.org/google-docs/?Re7N4E" TargetMode="External"/><Relationship Id="rId53" Type="http://schemas.openxmlformats.org/officeDocument/2006/relationships/hyperlink" Target="https://doi.org/10.1016/j.engstruct.2019.01.056" TargetMode="External"/><Relationship Id="rId74" Type="http://schemas.openxmlformats.org/officeDocument/2006/relationships/hyperlink" Target="https://doi.org/10.7914/SN/OX" TargetMode="External"/><Relationship Id="rId128" Type="http://schemas.openxmlformats.org/officeDocument/2006/relationships/hyperlink" Target="https://doi.org/10.1007/s10518-020-00965-2" TargetMode="External"/><Relationship Id="rId5" Type="http://schemas.openxmlformats.org/officeDocument/2006/relationships/settings" Target="settings.xml"/><Relationship Id="rId90" Type="http://schemas.openxmlformats.org/officeDocument/2006/relationships/hyperlink" Target="https://doi.org/10.1785/0120140204" TargetMode="External"/><Relationship Id="rId95" Type="http://schemas.openxmlformats.org/officeDocument/2006/relationships/hyperlink" Target="https://doi.org/10.1785/0120150326" TargetMode="External"/><Relationship Id="rId22" Type="http://schemas.openxmlformats.org/officeDocument/2006/relationships/image" Target="media/image10.png"/><Relationship Id="rId27" Type="http://schemas.openxmlformats.org/officeDocument/2006/relationships/hyperlink" Target="https://terremoti.ingv.it/" TargetMode="External"/><Relationship Id="rId43" Type="http://schemas.openxmlformats.org/officeDocument/2006/relationships/hyperlink" Target="https://doi.org/10.1785/0120100257" TargetMode="External"/><Relationship Id="rId48" Type="http://schemas.openxmlformats.org/officeDocument/2006/relationships/hyperlink" Target="https://doi.org/10.5281/zenodo.15520147" TargetMode="External"/><Relationship Id="rId64" Type="http://schemas.openxmlformats.org/officeDocument/2006/relationships/hyperlink" Target="https://doi.org/10.5880/GFZ.2.4.2020.003" TargetMode="External"/><Relationship Id="rId69" Type="http://schemas.openxmlformats.org/officeDocument/2006/relationships/hyperlink" Target="https://doi.org/10.1109/MCSE.2007.55" TargetMode="External"/><Relationship Id="rId113" Type="http://schemas.openxmlformats.org/officeDocument/2006/relationships/hyperlink" Target="https://doi.org/10.1785/0220200430" TargetMode="External"/><Relationship Id="rId118" Type="http://schemas.openxmlformats.org/officeDocument/2006/relationships/hyperlink" Target="https://doi.org/10.1007/s10518-023-01750-7" TargetMode="External"/><Relationship Id="rId134" Type="http://schemas.openxmlformats.org/officeDocument/2006/relationships/hyperlink" Target="https://doi.org/10.1785/BSSA0860030914" TargetMode="External"/><Relationship Id="rId139" Type="http://schemas.openxmlformats.org/officeDocument/2006/relationships/hyperlink" Target="mailto:bp@gfz.de" TargetMode="External"/><Relationship Id="rId80" Type="http://schemas.openxmlformats.org/officeDocument/2006/relationships/hyperlink" Target="https://doi.org/10.1785/0120050143" TargetMode="External"/><Relationship Id="rId85" Type="http://schemas.openxmlformats.org/officeDocument/2006/relationships/hyperlink" Target="https://doi.org/10.1785/0120180193" TargetMode="External"/><Relationship Id="rId12" Type="http://schemas.openxmlformats.org/officeDocument/2006/relationships/hyperlink" Target="https://www.zotero.org/google-docs/?1GAG2P" TargetMode="External"/><Relationship Id="rId17" Type="http://schemas.openxmlformats.org/officeDocument/2006/relationships/image" Target="media/image5.png"/><Relationship Id="rId33" Type="http://schemas.openxmlformats.org/officeDocument/2006/relationships/hyperlink" Target="https://doi.org/10.7914/SN/OX" TargetMode="External"/><Relationship Id="rId38" Type="http://schemas.openxmlformats.org/officeDocument/2006/relationships/hyperlink" Target="https://doi.org/10.1785/gssrl.81.3.530" TargetMode="External"/><Relationship Id="rId59" Type="http://schemas.openxmlformats.org/officeDocument/2006/relationships/hyperlink" Target="https://doi.org/10.1785/0220230009" TargetMode="External"/><Relationship Id="rId103" Type="http://schemas.openxmlformats.org/officeDocument/2006/relationships/hyperlink" Target="https://doi.org/10.1016/j.soildyn.2012.09.014" TargetMode="External"/><Relationship Id="rId108" Type="http://schemas.openxmlformats.org/officeDocument/2006/relationships/hyperlink" Target="https://doi.org/10.1785/0220200058" TargetMode="External"/><Relationship Id="rId124" Type="http://schemas.openxmlformats.org/officeDocument/2006/relationships/hyperlink" Target="https://doi.org/10.5281/ZENODO.10916799" TargetMode="External"/><Relationship Id="rId129" Type="http://schemas.openxmlformats.org/officeDocument/2006/relationships/hyperlink" Target="https://doi.org/10.1007/s10518-020-00965-2" TargetMode="External"/><Relationship Id="rId54" Type="http://schemas.openxmlformats.org/officeDocument/2006/relationships/hyperlink" Target="https://doi.org/10.1007/s10518-012-9347-x" TargetMode="External"/><Relationship Id="rId70" Type="http://schemas.openxmlformats.org/officeDocument/2006/relationships/hyperlink" Target="https://doi.org/10.1193/102412EQS315M" TargetMode="External"/><Relationship Id="rId75" Type="http://schemas.openxmlformats.org/officeDocument/2006/relationships/hyperlink" Target="https://doi.org/10.7914/SN/OX" TargetMode="External"/><Relationship Id="rId91" Type="http://schemas.openxmlformats.org/officeDocument/2006/relationships/hyperlink" Target="https://doi.org/10.1785/0120140204" TargetMode="External"/><Relationship Id="rId96" Type="http://schemas.openxmlformats.org/officeDocument/2006/relationships/hyperlink" Target="https://doi.org/10.1007/s10518-017-0215-6" TargetMode="External"/><Relationship Id="rId140" Type="http://schemas.openxmlformats.org/officeDocument/2006/relationships/hyperlink" Target="mailto:mromanelli@ogs.it" TargetMode="External"/><Relationship Id="rId14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s://matplotlib.org/" TargetMode="External"/><Relationship Id="rId28" Type="http://schemas.openxmlformats.org/officeDocument/2006/relationships/hyperlink" Target="https://webservices.ingv.it/fdsnws/event/1" TargetMode="External"/><Relationship Id="rId49" Type="http://schemas.openxmlformats.org/officeDocument/2006/relationships/hyperlink" Target="https://doi.org/10.1002/eqe.3856" TargetMode="External"/><Relationship Id="rId114" Type="http://schemas.openxmlformats.org/officeDocument/2006/relationships/hyperlink" Target="https://doi.org/10.1785/0120080093" TargetMode="External"/><Relationship Id="rId119" Type="http://schemas.openxmlformats.org/officeDocument/2006/relationships/hyperlink" Target="https://doi.org/10.1007/s10518-023-01750-7" TargetMode="External"/><Relationship Id="rId44" Type="http://schemas.openxmlformats.org/officeDocument/2006/relationships/hyperlink" Target="https://doi.org/10.1785/0120100257" TargetMode="External"/><Relationship Id="rId60" Type="http://schemas.openxmlformats.org/officeDocument/2006/relationships/hyperlink" Target="https://doi.org/10.1785/0120000306" TargetMode="External"/><Relationship Id="rId65" Type="http://schemas.openxmlformats.org/officeDocument/2006/relationships/hyperlink" Target="https://doi.org/10.5880/GFZ.2.4.2020.003" TargetMode="External"/><Relationship Id="rId81" Type="http://schemas.openxmlformats.org/officeDocument/2006/relationships/hyperlink" Target="https://doi.org/10.1785/0120050143" TargetMode="External"/><Relationship Id="rId86" Type="http://schemas.openxmlformats.org/officeDocument/2006/relationships/hyperlink" Target="https://doi.org/10.1785/0120060256" TargetMode="External"/><Relationship Id="rId130" Type="http://schemas.openxmlformats.org/officeDocument/2006/relationships/hyperlink" Target="https://doi.org/10.1785/0120160069" TargetMode="External"/><Relationship Id="rId135" Type="http://schemas.openxmlformats.org/officeDocument/2006/relationships/hyperlink" Target="https://doi.org/10.1785/BSSA0860030914" TargetMode="External"/><Relationship Id="rId13" Type="http://schemas.openxmlformats.org/officeDocument/2006/relationships/image" Target="media/image1.png"/><Relationship Id="rId18" Type="http://schemas.openxmlformats.org/officeDocument/2006/relationships/image" Target="media/image6.png"/><Relationship Id="rId39" Type="http://schemas.openxmlformats.org/officeDocument/2006/relationships/hyperlink" Target="https://doi.org/10.1785/gssrl.81.3.530" TargetMode="External"/><Relationship Id="rId109" Type="http://schemas.openxmlformats.org/officeDocument/2006/relationships/hyperlink" Target="https://doi.org/10.1785/0220200058" TargetMode="External"/><Relationship Id="rId34" Type="http://schemas.openxmlformats.org/officeDocument/2006/relationships/hyperlink" Target="https://doi.org/10.1016/0040-1951(93)90262-I" TargetMode="External"/><Relationship Id="rId50" Type="http://schemas.openxmlformats.org/officeDocument/2006/relationships/hyperlink" Target="https://doi.org/10.1002/eqe.3856" TargetMode="External"/><Relationship Id="rId55" Type="http://schemas.openxmlformats.org/officeDocument/2006/relationships/hyperlink" Target="https://doi.org/10.1007/s10518-012-9347-x" TargetMode="External"/><Relationship Id="rId76" Type="http://schemas.openxmlformats.org/officeDocument/2006/relationships/hyperlink" Target="https://doi.org/10.1785/BSSA0600062037" TargetMode="External"/><Relationship Id="rId97" Type="http://schemas.openxmlformats.org/officeDocument/2006/relationships/hyperlink" Target="https://doi.org/10.1007/s10518-017-0215-6" TargetMode="External"/><Relationship Id="rId104" Type="http://schemas.openxmlformats.org/officeDocument/2006/relationships/hyperlink" Target="https://doi.org/10.1002/eqe.3422" TargetMode="External"/><Relationship Id="rId120" Type="http://schemas.openxmlformats.org/officeDocument/2006/relationships/hyperlink" Target="https://doi.org/10.1785/0120050109" TargetMode="External"/><Relationship Id="rId125" Type="http://schemas.openxmlformats.org/officeDocument/2006/relationships/hyperlink" Target="https://doi.org/10.5281/ZENODO.10916799" TargetMode="External"/><Relationship Id="rId141" Type="http://schemas.openxmlformats.org/officeDocument/2006/relationships/hyperlink" Target="mailto:cscaini@ogs.it" TargetMode="External"/><Relationship Id="rId146"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hyperlink" Target="https://doi.org/10.1193/102412EQS315M" TargetMode="External"/><Relationship Id="rId92" Type="http://schemas.openxmlformats.org/officeDocument/2006/relationships/hyperlink" Target="https://doi.org/10.1111/j.1365-246X.2009.04257.x" TargetMode="External"/><Relationship Id="rId2" Type="http://schemas.openxmlformats.org/officeDocument/2006/relationships/customXml" Target="../customXml/item2.xml"/><Relationship Id="rId29" Type="http://schemas.openxmlformats.org/officeDocument/2006/relationships/hyperlink" Target="https://webservices.ingv.it/fdsnws/event/1" TargetMode="External"/><Relationship Id="rId24" Type="http://schemas.openxmlformats.org/officeDocument/2006/relationships/hyperlink" Target="https://scitools.org.uk/cartopy" TargetMode="External"/><Relationship Id="rId40" Type="http://schemas.openxmlformats.org/officeDocument/2006/relationships/hyperlink" Target="https://doi.org/10.1785/0120090306" TargetMode="External"/><Relationship Id="rId45" Type="http://schemas.openxmlformats.org/officeDocument/2006/relationships/hyperlink" Target="https://doi.org/10.1088/0964-1726/10/3/303" TargetMode="External"/><Relationship Id="rId66" Type="http://schemas.openxmlformats.org/officeDocument/2006/relationships/hyperlink" Target="https://doi.org/10.1007/s10518-009-9112-y" TargetMode="External"/><Relationship Id="rId87" Type="http://schemas.openxmlformats.org/officeDocument/2006/relationships/hyperlink" Target="https://doi.org/10.1785/0120060256" TargetMode="External"/><Relationship Id="rId110" Type="http://schemas.openxmlformats.org/officeDocument/2006/relationships/hyperlink" Target="https://doi.org/10.5194/essd-14-5213-2022" TargetMode="External"/><Relationship Id="rId115" Type="http://schemas.openxmlformats.org/officeDocument/2006/relationships/hyperlink" Target="https://doi.org/10.1785/0120080093" TargetMode="External"/><Relationship Id="rId131" Type="http://schemas.openxmlformats.org/officeDocument/2006/relationships/hyperlink" Target="https://doi.org/10.1785/0120160069" TargetMode="External"/><Relationship Id="rId136" Type="http://schemas.openxmlformats.org/officeDocument/2006/relationships/hyperlink" Target="mailto:lcataldi@ogs.it" TargetMode="External"/><Relationship Id="rId61" Type="http://schemas.openxmlformats.org/officeDocument/2006/relationships/hyperlink" Target="https://doi.org/10.1785/0120000306" TargetMode="External"/><Relationship Id="rId82" Type="http://schemas.openxmlformats.org/officeDocument/2006/relationships/hyperlink" Target="https://doi.org/10.1785/0120080312" TargetMode="External"/><Relationship Id="rId19" Type="http://schemas.openxmlformats.org/officeDocument/2006/relationships/image" Target="media/image7.png"/><Relationship Id="rId14" Type="http://schemas.openxmlformats.org/officeDocument/2006/relationships/image" Target="media/image2.png"/><Relationship Id="rId30" Type="http://schemas.openxmlformats.org/officeDocument/2006/relationships/hyperlink" Target="https://www.fdsn.org/" TargetMode="External"/><Relationship Id="rId35" Type="http://schemas.openxmlformats.org/officeDocument/2006/relationships/hyperlink" Target="https://doi.org/10.1016/0040-1951(93)90262-I" TargetMode="External"/><Relationship Id="rId56" Type="http://schemas.openxmlformats.org/officeDocument/2006/relationships/hyperlink" Target="https://doi.org/10.1007/s10518-013-9565-x" TargetMode="External"/><Relationship Id="rId77" Type="http://schemas.openxmlformats.org/officeDocument/2006/relationships/hyperlink" Target="https://doi.org/10.1785/BSSA0600062037" TargetMode="External"/><Relationship Id="rId100" Type="http://schemas.openxmlformats.org/officeDocument/2006/relationships/hyperlink" Target="https://doi.org/10.1007/s10518-016-9916-5" TargetMode="External"/><Relationship Id="rId105" Type="http://schemas.openxmlformats.org/officeDocument/2006/relationships/hyperlink" Target="https://doi.org/10.1002/eqe.3422" TargetMode="External"/><Relationship Id="rId126" Type="http://schemas.openxmlformats.org/officeDocument/2006/relationships/hyperlink" Target="https://doi.org/10.1007/s00024-014-0873-0" TargetMode="External"/><Relationship Id="rId147"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s://doi.org/10.1785/0120050052" TargetMode="External"/><Relationship Id="rId72" Type="http://schemas.openxmlformats.org/officeDocument/2006/relationships/hyperlink" Target="https://doi.org/10.13127/ISIDE" TargetMode="External"/><Relationship Id="rId93" Type="http://schemas.openxmlformats.org/officeDocument/2006/relationships/hyperlink" Target="https://doi.org/10.1111/j.1365-246X.2009.04257.x" TargetMode="External"/><Relationship Id="rId98" Type="http://schemas.openxmlformats.org/officeDocument/2006/relationships/hyperlink" Target="https://doi.org/10.3389/feart.2022.932110" TargetMode="External"/><Relationship Id="rId121" Type="http://schemas.openxmlformats.org/officeDocument/2006/relationships/hyperlink" Target="https://doi.org/10.1785/0120050109" TargetMode="External"/><Relationship Id="rId142" Type="http://schemas.openxmlformats.org/officeDocument/2006/relationships/hyperlink" Target="mailto:luca.martelli@regione.emilia-romagna.it" TargetMode="External"/><Relationship Id="rId3" Type="http://schemas.openxmlformats.org/officeDocument/2006/relationships/numbering" Target="numbering.xml"/><Relationship Id="rId25" Type="http://schemas.openxmlformats.org/officeDocument/2006/relationships/hyperlink" Target="https://www.mathworks.com" TargetMode="External"/><Relationship Id="rId46" Type="http://schemas.openxmlformats.org/officeDocument/2006/relationships/hyperlink" Target="https://doi.org/10.1088/0964-1726/10/3/303" TargetMode="External"/><Relationship Id="rId67" Type="http://schemas.openxmlformats.org/officeDocument/2006/relationships/hyperlink" Target="https://doi.org/10.1007/s10518-009-9112-y" TargetMode="External"/><Relationship Id="rId116" Type="http://schemas.openxmlformats.org/officeDocument/2006/relationships/hyperlink" Target="https://doi.org/10.1785/0220240018" TargetMode="External"/><Relationship Id="rId137" Type="http://schemas.openxmlformats.org/officeDocument/2006/relationships/hyperlink" Target="mailto:gcapotosti@ogs.it" TargetMode="External"/><Relationship Id="rId20" Type="http://schemas.openxmlformats.org/officeDocument/2006/relationships/image" Target="media/image8.png"/><Relationship Id="rId41" Type="http://schemas.openxmlformats.org/officeDocument/2006/relationships/hyperlink" Target="https://doi.org/10.1785/0220200372" TargetMode="External"/><Relationship Id="rId62" Type="http://schemas.openxmlformats.org/officeDocument/2006/relationships/hyperlink" Target="https://doi.org/10.1785/0119990072" TargetMode="External"/><Relationship Id="rId83" Type="http://schemas.openxmlformats.org/officeDocument/2006/relationships/hyperlink" Target="https://doi.org/10.1785/0120080312" TargetMode="External"/><Relationship Id="rId88" Type="http://schemas.openxmlformats.org/officeDocument/2006/relationships/hyperlink" Target="https://doi.org/10.1016/j.soildyn.2007.10.002" TargetMode="External"/><Relationship Id="rId111" Type="http://schemas.openxmlformats.org/officeDocument/2006/relationships/hyperlink" Target="https://doi.org/10.5194/essd-14-5213-2022" TargetMode="External"/><Relationship Id="rId132" Type="http://schemas.openxmlformats.org/officeDocument/2006/relationships/hyperlink" Target="https://doi.org/10.1785/0320220032" TargetMode="External"/><Relationship Id="rId15" Type="http://schemas.openxmlformats.org/officeDocument/2006/relationships/image" Target="media/image3.png"/><Relationship Id="rId36" Type="http://schemas.openxmlformats.org/officeDocument/2006/relationships/hyperlink" Target="https://doi.org/10.1007/978-1-4020-3608-8_5" TargetMode="External"/><Relationship Id="rId57" Type="http://schemas.openxmlformats.org/officeDocument/2006/relationships/hyperlink" Target="https://doi.org/10.1007/s10518-013-9565-x" TargetMode="External"/><Relationship Id="rId106" Type="http://schemas.openxmlformats.org/officeDocument/2006/relationships/hyperlink" Target="https://doi.org/10.1785/0120150216" TargetMode="External"/><Relationship Id="rId127" Type="http://schemas.openxmlformats.org/officeDocument/2006/relationships/hyperlink" Target="https://doi.org/10.1007/s00024-014-0873-0" TargetMode="External"/><Relationship Id="rId10" Type="http://schemas.openxmlformats.org/officeDocument/2006/relationships/hyperlink" Target="https://www.zotero.org/google-docs/?pMjgyo" TargetMode="External"/><Relationship Id="rId31" Type="http://schemas.openxmlformats.org/officeDocument/2006/relationships/hyperlink" Target="https://www.fdsn.org/" TargetMode="External"/><Relationship Id="rId52" Type="http://schemas.openxmlformats.org/officeDocument/2006/relationships/hyperlink" Target="https://doi.org/10.1785/0120050052" TargetMode="External"/><Relationship Id="rId73" Type="http://schemas.openxmlformats.org/officeDocument/2006/relationships/hyperlink" Target="https://doi.org/10.13127/ISIDE" TargetMode="External"/><Relationship Id="rId78" Type="http://schemas.openxmlformats.org/officeDocument/2006/relationships/hyperlink" Target="https://doi.org/10.1111/j.1365-246X.1991.tb06724.x" TargetMode="External"/><Relationship Id="rId94" Type="http://schemas.openxmlformats.org/officeDocument/2006/relationships/hyperlink" Target="https://doi.org/10.1785/0120150326" TargetMode="External"/><Relationship Id="rId99" Type="http://schemas.openxmlformats.org/officeDocument/2006/relationships/hyperlink" Target="https://doi.org/10.3389/feart.2022.932110" TargetMode="External"/><Relationship Id="rId101" Type="http://schemas.openxmlformats.org/officeDocument/2006/relationships/hyperlink" Target="https://doi.org/10.1007/s10518-016-9916-5" TargetMode="External"/><Relationship Id="rId122" Type="http://schemas.openxmlformats.org/officeDocument/2006/relationships/hyperlink" Target="https://doi.org/10.1007/s10518-013-9564-y" TargetMode="External"/><Relationship Id="rId143" Type="http://schemas.openxmlformats.org/officeDocument/2006/relationships/hyperlink" Target="mailto:stefano.parolai@units.it" TargetMode="External"/><Relationship Id="rId4" Type="http://schemas.openxmlformats.org/officeDocument/2006/relationships/styles" Target="styles.xml"/><Relationship Id="rId9" Type="http://schemas.openxmlformats.org/officeDocument/2006/relationships/hyperlink" Target="mailto:lcataldi@ogs.it" TargetMode="External"/><Relationship Id="rId26" Type="http://schemas.openxmlformats.org/officeDocument/2006/relationships/hyperlink" Target="https://terremoti.ingv.it/" TargetMode="External"/><Relationship Id="rId47" Type="http://schemas.openxmlformats.org/officeDocument/2006/relationships/hyperlink" Target="https://doi.org/10.5281/zenodo.15520147" TargetMode="External"/><Relationship Id="rId68" Type="http://schemas.openxmlformats.org/officeDocument/2006/relationships/hyperlink" Target="https://doi.org/10.1109/MCSE.2007.55" TargetMode="External"/><Relationship Id="rId89" Type="http://schemas.openxmlformats.org/officeDocument/2006/relationships/hyperlink" Target="https://doi.org/10.1016/j.soildyn.2007.10.002" TargetMode="External"/><Relationship Id="rId112" Type="http://schemas.openxmlformats.org/officeDocument/2006/relationships/hyperlink" Target="https://doi.org/10.1785/0220200430" TargetMode="External"/><Relationship Id="rId133" Type="http://schemas.openxmlformats.org/officeDocument/2006/relationships/hyperlink" Target="https://doi.org/10.1785/0320220032" TargetMode="External"/><Relationship Id="rId16" Type="http://schemas.openxmlformats.org/officeDocument/2006/relationships/image" Target="media/image4.png"/><Relationship Id="rId37" Type="http://schemas.openxmlformats.org/officeDocument/2006/relationships/hyperlink" Target="https://doi.org/10.1007/978-1-4020-3608-8_5" TargetMode="External"/><Relationship Id="rId58" Type="http://schemas.openxmlformats.org/officeDocument/2006/relationships/hyperlink" Target="https://doi.org/10.1785/0220230009" TargetMode="External"/><Relationship Id="rId79" Type="http://schemas.openxmlformats.org/officeDocument/2006/relationships/hyperlink" Target="https://doi.org/10.1111/j.1365-246X.1991.tb06724.x" TargetMode="External"/><Relationship Id="rId102" Type="http://schemas.openxmlformats.org/officeDocument/2006/relationships/hyperlink" Target="https://doi.org/10.1016/j.soildyn.2012.09.014" TargetMode="External"/><Relationship Id="rId123" Type="http://schemas.openxmlformats.org/officeDocument/2006/relationships/hyperlink" Target="https://doi.org/10.1007/s10518-013-9564-y" TargetMode="External"/><Relationship Id="rId144" Type="http://schemas.openxmlformats.org/officeDocument/2006/relationships/hyperlink" Target="mailto:vpoggi@ogs.it"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iwngBnCa7hhyrVPEoDJIQhslVw==">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E2DC9BD-8352-4EF3-AC80-F39619BE7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12553</Words>
  <Characters>71555</Characters>
  <Application>Microsoft Office Word</Application>
  <DocSecurity>0</DocSecurity>
  <Lines>596</Lines>
  <Paragraphs>167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Laura Cataldi</cp:lastModifiedBy>
  <cp:revision>16</cp:revision>
  <dcterms:created xsi:type="dcterms:W3CDTF">2026-06-09T15:39:00Z</dcterms:created>
  <dcterms:modified xsi:type="dcterms:W3CDTF">2026-08-01T10:06:00Z</dcterms:modified>
</cp:coreProperties>
</file>